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F608A" w14:textId="13C0DA7B" w:rsidR="00170C58" w:rsidRDefault="00170C58" w:rsidP="00170C58">
      <w:pPr>
        <w:pStyle w:val="paragraph"/>
        <w:spacing w:after="0"/>
        <w:textAlignment w:val="baseline"/>
        <w:rPr>
          <w:rFonts w:ascii="Segoe UI" w:hAnsi="Segoe UI" w:cs="Segoe UI"/>
          <w:color w:val="0E335E"/>
          <w:sz w:val="18"/>
          <w:szCs w:val="18"/>
        </w:rPr>
      </w:pPr>
      <w:bookmarkStart w:id="0" w:name="_Hlk29562418"/>
      <w:bookmarkStart w:id="1" w:name="_Hlk71380316"/>
      <w:r>
        <w:rPr>
          <w:rStyle w:val="normaltextrun"/>
          <w:rFonts w:ascii="Trade Gothic Next SR Pro" w:eastAsiaTheme="minorEastAsia" w:hAnsi="Trade Gothic Next SR Pro" w:cs="Segoe UI"/>
          <w:color w:val="0E335E"/>
          <w:sz w:val="28"/>
          <w:szCs w:val="28"/>
        </w:rPr>
        <w:t xml:space="preserve">ACADIA CENTER APPLAUDS Massachusetts </w:t>
      </w:r>
      <w:r w:rsidR="0087772C">
        <w:rPr>
          <w:rStyle w:val="normaltextrun"/>
          <w:rFonts w:ascii="Trade Gothic Next SR Pro" w:eastAsiaTheme="minorEastAsia" w:hAnsi="Trade Gothic Next SR Pro" w:cs="Segoe UI"/>
          <w:color w:val="0E335E"/>
          <w:sz w:val="28"/>
          <w:szCs w:val="28"/>
        </w:rPr>
        <w:t xml:space="preserve">Governor Healey </w:t>
      </w:r>
      <w:r>
        <w:rPr>
          <w:rStyle w:val="normaltextrun"/>
          <w:rFonts w:ascii="Trade Gothic Next SR Pro" w:eastAsiaTheme="minorEastAsia" w:hAnsi="Trade Gothic Next SR Pro" w:cs="Segoe UI"/>
          <w:color w:val="0E335E"/>
          <w:sz w:val="28"/>
          <w:szCs w:val="28"/>
        </w:rPr>
        <w:t xml:space="preserve">for </w:t>
      </w:r>
      <w:r w:rsidR="003F0B5C">
        <w:rPr>
          <w:rStyle w:val="normaltextrun"/>
          <w:rFonts w:ascii="Trade Gothic Next SR Pro" w:eastAsiaTheme="minorEastAsia" w:hAnsi="Trade Gothic Next SR Pro" w:cs="Segoe UI"/>
          <w:color w:val="0E335E"/>
          <w:sz w:val="28"/>
          <w:szCs w:val="28"/>
        </w:rPr>
        <w:t>Timely Executive Order Promoting Cheapest, Fastest-to-Deploy Clean Energy Resources</w:t>
      </w:r>
      <w:r w:rsidR="001C4453">
        <w:rPr>
          <w:rStyle w:val="normaltextrun"/>
          <w:rFonts w:ascii="Trade Gothic Next SR Pro" w:eastAsiaTheme="minorEastAsia" w:hAnsi="Trade Gothic Next SR Pro" w:cs="Segoe UI"/>
          <w:color w:val="0E335E"/>
          <w:sz w:val="28"/>
          <w:szCs w:val="28"/>
        </w:rPr>
        <w:t xml:space="preserve">, </w:t>
      </w:r>
      <w:r w:rsidR="00B90847">
        <w:rPr>
          <w:rStyle w:val="normaltextrun"/>
          <w:rFonts w:ascii="Trade Gothic Next SR Pro" w:eastAsiaTheme="minorEastAsia" w:hAnsi="Trade Gothic Next SR Pro" w:cs="Segoe UI"/>
          <w:color w:val="0E335E"/>
          <w:sz w:val="28"/>
          <w:szCs w:val="28"/>
        </w:rPr>
        <w:t>Inclusion of Supply</w:t>
      </w:r>
      <w:r w:rsidR="001A4945">
        <w:rPr>
          <w:rStyle w:val="normaltextrun"/>
          <w:rFonts w:ascii="Trade Gothic Next SR Pro" w:eastAsiaTheme="minorEastAsia" w:hAnsi="Trade Gothic Next SR Pro" w:cs="Segoe UI"/>
          <w:color w:val="0E335E"/>
          <w:sz w:val="28"/>
          <w:szCs w:val="28"/>
        </w:rPr>
        <w:t>,</w:t>
      </w:r>
      <w:r w:rsidR="009925E9">
        <w:rPr>
          <w:rStyle w:val="normaltextrun"/>
          <w:rFonts w:ascii="Trade Gothic Next SR Pro" w:eastAsiaTheme="minorEastAsia" w:hAnsi="Trade Gothic Next SR Pro" w:cs="Segoe UI"/>
          <w:color w:val="0E335E"/>
          <w:sz w:val="28"/>
          <w:szCs w:val="28"/>
        </w:rPr>
        <w:t xml:space="preserve"> Storage, Grid, and </w:t>
      </w:r>
      <w:r w:rsidR="00B90847">
        <w:rPr>
          <w:rStyle w:val="normaltextrun"/>
          <w:rFonts w:ascii="Trade Gothic Next SR Pro" w:eastAsiaTheme="minorEastAsia" w:hAnsi="Trade Gothic Next SR Pro" w:cs="Segoe UI"/>
          <w:color w:val="0E335E"/>
          <w:sz w:val="28"/>
          <w:szCs w:val="28"/>
        </w:rPr>
        <w:t>Demand-Side Solutions to Drive Energy Affordability</w:t>
      </w:r>
    </w:p>
    <w:p w14:paraId="47AEEC01" w14:textId="197FD3A0" w:rsidR="00BD7FED" w:rsidRDefault="00E51FF3" w:rsidP="00170C58">
      <w:pPr>
        <w:pStyle w:val="paragraph"/>
        <w:spacing w:before="0" w:beforeAutospacing="0" w:after="0" w:afterAutospacing="0"/>
        <w:textAlignment w:val="baseline"/>
        <w:rPr>
          <w:rFonts w:ascii="TisaOT-Medi" w:eastAsiaTheme="minorEastAsia" w:hAnsi="TisaOT-Medi" w:cs="TisaOT-Medi"/>
          <w:color w:val="EB4F26"/>
          <w:shd w:val="clear" w:color="auto" w:fill="FFFFFF"/>
        </w:rPr>
      </w:pPr>
      <w:r>
        <w:rPr>
          <w:rFonts w:ascii="TisaOT-Medi" w:eastAsiaTheme="minorEastAsia" w:hAnsi="TisaOT-Medi" w:cs="TisaOT-Medi"/>
          <w:color w:val="EB4F26"/>
          <w:shd w:val="clear" w:color="auto" w:fill="FFFFFF"/>
        </w:rPr>
        <w:t>*</w:t>
      </w:r>
      <w:r w:rsidR="0066785A">
        <w:rPr>
          <w:rFonts w:ascii="TisaOT-Medi" w:eastAsiaTheme="minorEastAsia" w:hAnsi="TisaOT-Medi" w:cs="TisaOT-Medi"/>
          <w:color w:val="EB4F26"/>
          <w:shd w:val="clear" w:color="auto" w:fill="FFFFFF"/>
        </w:rPr>
        <w:t xml:space="preserve">Region will </w:t>
      </w:r>
      <w:r w:rsidR="00BD7FED">
        <w:rPr>
          <w:rFonts w:ascii="TisaOT-Medi" w:eastAsiaTheme="minorEastAsia" w:hAnsi="TisaOT-Medi" w:cs="TisaOT-Medi"/>
          <w:color w:val="EB4F26"/>
          <w:shd w:val="clear" w:color="auto" w:fill="FFFFFF"/>
        </w:rPr>
        <w:t>enhance affordability and reliability with</w:t>
      </w:r>
      <w:r w:rsidR="0066785A">
        <w:rPr>
          <w:rFonts w:ascii="TisaOT-Medi" w:eastAsiaTheme="minorEastAsia" w:hAnsi="TisaOT-Medi" w:cs="TisaOT-Medi"/>
          <w:color w:val="EB4F26"/>
          <w:shd w:val="clear" w:color="auto" w:fill="FFFFFF"/>
        </w:rPr>
        <w:t xml:space="preserve"> gigawatt</w:t>
      </w:r>
      <w:r w:rsidR="00BD7FED">
        <w:rPr>
          <w:rFonts w:ascii="TisaOT-Medi" w:eastAsiaTheme="minorEastAsia" w:hAnsi="TisaOT-Medi" w:cs="TisaOT-Medi"/>
          <w:color w:val="EB4F26"/>
          <w:shd w:val="clear" w:color="auto" w:fill="FFFFFF"/>
        </w:rPr>
        <w:t>-scale annual deployments</w:t>
      </w:r>
      <w:r w:rsidR="0011575E">
        <w:rPr>
          <w:rFonts w:ascii="TisaOT-Medi" w:eastAsiaTheme="minorEastAsia" w:hAnsi="TisaOT-Medi" w:cs="TisaOT-Medi"/>
          <w:color w:val="EB4F26"/>
          <w:shd w:val="clear" w:color="auto" w:fill="FFFFFF"/>
        </w:rPr>
        <w:t xml:space="preserve"> </w:t>
      </w:r>
      <w:r>
        <w:rPr>
          <w:rFonts w:ascii="TisaOT-Medi" w:eastAsiaTheme="minorEastAsia" w:hAnsi="TisaOT-Medi" w:cs="TisaOT-Medi"/>
          <w:color w:val="EB4F26"/>
          <w:shd w:val="clear" w:color="auto" w:fill="FFFFFF"/>
        </w:rPr>
        <w:t>*</w:t>
      </w:r>
      <w:r w:rsidR="00BD7FED">
        <w:rPr>
          <w:rFonts w:ascii="TisaOT-Medi" w:eastAsiaTheme="minorEastAsia" w:hAnsi="TisaOT-Medi" w:cs="TisaOT-Medi"/>
          <w:color w:val="EB4F26"/>
          <w:shd w:val="clear" w:color="auto" w:fill="FFFFFF"/>
        </w:rPr>
        <w:t xml:space="preserve">Demand-side flexibility solutions will </w:t>
      </w:r>
      <w:r w:rsidR="00AB44B6">
        <w:rPr>
          <w:rFonts w:ascii="TisaOT-Medi" w:eastAsiaTheme="minorEastAsia" w:hAnsi="TisaOT-Medi" w:cs="TisaOT-Medi"/>
          <w:color w:val="EB4F26"/>
          <w:shd w:val="clear" w:color="auto" w:fill="FFFFFF"/>
        </w:rPr>
        <w:t>help manage peaks, reduce infrastructure</w:t>
      </w:r>
      <w:r w:rsidR="004F671A">
        <w:rPr>
          <w:rFonts w:ascii="TisaOT-Medi" w:eastAsiaTheme="minorEastAsia" w:hAnsi="TisaOT-Medi" w:cs="TisaOT-Medi"/>
          <w:color w:val="EB4F26"/>
          <w:shd w:val="clear" w:color="auto" w:fill="FFFFFF"/>
        </w:rPr>
        <w:t xml:space="preserve"> </w:t>
      </w:r>
      <w:r w:rsidR="000F68D5">
        <w:rPr>
          <w:rFonts w:ascii="TisaOT-Medi" w:eastAsiaTheme="minorEastAsia" w:hAnsi="TisaOT-Medi" w:cs="TisaOT-Medi"/>
          <w:color w:val="EB4F26"/>
          <w:shd w:val="clear" w:color="auto" w:fill="FFFFFF"/>
        </w:rPr>
        <w:t>costs</w:t>
      </w:r>
    </w:p>
    <w:p w14:paraId="446C63B3" w14:textId="4D111C56" w:rsidR="007D6ACE" w:rsidRDefault="007D6ACE" w:rsidP="00170C58">
      <w:pPr>
        <w:pStyle w:val="paragraph"/>
        <w:spacing w:before="0" w:beforeAutospacing="0" w:after="0" w:afterAutospacing="0"/>
        <w:textAlignment w:val="baseline"/>
        <w:rPr>
          <w:rFonts w:ascii="TisaOT-Medi" w:eastAsiaTheme="minorEastAsia" w:hAnsi="TisaOT-Medi" w:cs="TisaOT-Medi"/>
          <w:color w:val="EB4F26"/>
          <w:shd w:val="clear" w:color="auto" w:fill="FFFFFF"/>
        </w:rPr>
      </w:pPr>
      <w:r>
        <w:rPr>
          <w:rFonts w:ascii="TisaOT-Medi" w:eastAsiaTheme="minorEastAsia" w:hAnsi="TisaOT-Medi" w:cs="TisaOT-Medi"/>
          <w:color w:val="EB4F26"/>
          <w:shd w:val="clear" w:color="auto" w:fill="FFFFFF"/>
        </w:rPr>
        <w:t>*Portfolio of solutions vital to insulate against risk of fuel price shocks from global events</w:t>
      </w:r>
    </w:p>
    <w:p w14:paraId="62574A4C" w14:textId="132C1B7F" w:rsidR="00170C58" w:rsidRDefault="00E51FF3" w:rsidP="00170C58">
      <w:pPr>
        <w:pStyle w:val="paragraph"/>
        <w:spacing w:before="0" w:beforeAutospacing="0" w:after="0" w:afterAutospacing="0"/>
        <w:textAlignment w:val="baseline"/>
        <w:rPr>
          <w:rFonts w:ascii="TisaOT-Medi" w:eastAsiaTheme="minorEastAsia" w:hAnsi="TisaOT-Medi" w:cs="TisaOT-Medi"/>
          <w:color w:val="EB4F26"/>
          <w:shd w:val="clear" w:color="auto" w:fill="FFFFFF"/>
        </w:rPr>
      </w:pPr>
      <w:r>
        <w:rPr>
          <w:rFonts w:ascii="TisaOT-Medi" w:eastAsiaTheme="minorEastAsia" w:hAnsi="TisaOT-Medi" w:cs="TisaOT-Medi"/>
          <w:color w:val="EB4F26"/>
          <w:shd w:val="clear" w:color="auto" w:fill="FFFFFF"/>
        </w:rPr>
        <w:t>*G</w:t>
      </w:r>
      <w:r w:rsidR="00E14BFE">
        <w:rPr>
          <w:rFonts w:ascii="TisaOT-Medi" w:eastAsiaTheme="minorEastAsia" w:hAnsi="TisaOT-Medi" w:cs="TisaOT-Medi"/>
          <w:color w:val="EB4F26"/>
          <w:shd w:val="clear" w:color="auto" w:fill="FFFFFF"/>
        </w:rPr>
        <w:t xml:space="preserve">as system </w:t>
      </w:r>
      <w:r w:rsidR="00AB44B6">
        <w:rPr>
          <w:rFonts w:ascii="TisaOT-Medi" w:eastAsiaTheme="minorEastAsia" w:hAnsi="TisaOT-Medi" w:cs="TisaOT-Medi"/>
          <w:color w:val="EB4F26"/>
          <w:shd w:val="clear" w:color="auto" w:fill="FFFFFF"/>
        </w:rPr>
        <w:t>investments</w:t>
      </w:r>
      <w:r>
        <w:rPr>
          <w:rFonts w:ascii="TisaOT-Medi" w:eastAsiaTheme="minorEastAsia" w:hAnsi="TisaOT-Medi" w:cs="TisaOT-Medi"/>
          <w:color w:val="EB4F26"/>
          <w:shd w:val="clear" w:color="auto" w:fill="FFFFFF"/>
        </w:rPr>
        <w:t xml:space="preserve"> must pass non-</w:t>
      </w:r>
      <w:r w:rsidR="0067740C">
        <w:rPr>
          <w:rFonts w:ascii="TisaOT-Medi" w:eastAsiaTheme="minorEastAsia" w:hAnsi="TisaOT-Medi" w:cs="TisaOT-Medi"/>
          <w:color w:val="EB4F26"/>
          <w:shd w:val="clear" w:color="auto" w:fill="FFFFFF"/>
        </w:rPr>
        <w:t>pipeline</w:t>
      </w:r>
      <w:r>
        <w:rPr>
          <w:rFonts w:ascii="TisaOT-Medi" w:eastAsiaTheme="minorEastAsia" w:hAnsi="TisaOT-Medi" w:cs="TisaOT-Medi"/>
          <w:color w:val="EB4F26"/>
          <w:shd w:val="clear" w:color="auto" w:fill="FFFFFF"/>
        </w:rPr>
        <w:t xml:space="preserve"> </w:t>
      </w:r>
      <w:r w:rsidR="001A4945">
        <w:rPr>
          <w:rFonts w:ascii="TisaOT-Medi" w:eastAsiaTheme="minorEastAsia" w:hAnsi="TisaOT-Medi" w:cs="TisaOT-Medi"/>
          <w:color w:val="EB4F26"/>
          <w:shd w:val="clear" w:color="auto" w:fill="FFFFFF"/>
        </w:rPr>
        <w:t>solutions</w:t>
      </w:r>
      <w:r>
        <w:rPr>
          <w:rFonts w:ascii="TisaOT-Medi" w:eastAsiaTheme="minorEastAsia" w:hAnsi="TisaOT-Medi" w:cs="TisaOT-Medi"/>
          <w:color w:val="EB4F26"/>
          <w:shd w:val="clear" w:color="auto" w:fill="FFFFFF"/>
        </w:rPr>
        <w:t xml:space="preserve"> </w:t>
      </w:r>
      <w:r w:rsidR="001A4945">
        <w:rPr>
          <w:rFonts w:ascii="TisaOT-Medi" w:eastAsiaTheme="minorEastAsia" w:hAnsi="TisaOT-Medi" w:cs="TisaOT-Medi"/>
          <w:color w:val="EB4F26"/>
          <w:shd w:val="clear" w:color="auto" w:fill="FFFFFF"/>
        </w:rPr>
        <w:t>screening</w:t>
      </w:r>
      <w:r>
        <w:rPr>
          <w:rFonts w:ascii="TisaOT-Medi" w:eastAsiaTheme="minorEastAsia" w:hAnsi="TisaOT-Medi" w:cs="TisaOT-Medi"/>
          <w:color w:val="EB4F26"/>
          <w:shd w:val="clear" w:color="auto" w:fill="FFFFFF"/>
        </w:rPr>
        <w:t xml:space="preserve">, prove compatibility with </w:t>
      </w:r>
      <w:r w:rsidR="00067371">
        <w:rPr>
          <w:rFonts w:ascii="TisaOT-Medi" w:eastAsiaTheme="minorEastAsia" w:hAnsi="TisaOT-Medi" w:cs="TisaOT-Medi"/>
          <w:color w:val="EB4F26"/>
          <w:shd w:val="clear" w:color="auto" w:fill="FFFFFF"/>
        </w:rPr>
        <w:t>least-cost</w:t>
      </w:r>
      <w:r w:rsidR="00B8630C">
        <w:rPr>
          <w:rFonts w:ascii="TisaOT-Medi" w:eastAsiaTheme="minorEastAsia" w:hAnsi="TisaOT-Medi" w:cs="TisaOT-Medi"/>
          <w:color w:val="EB4F26"/>
          <w:shd w:val="clear" w:color="auto" w:fill="FFFFFF"/>
        </w:rPr>
        <w:t>,</w:t>
      </w:r>
      <w:r w:rsidR="00ED7412">
        <w:rPr>
          <w:rFonts w:ascii="TisaOT-Medi" w:eastAsiaTheme="minorEastAsia" w:hAnsi="TisaOT-Medi" w:cs="TisaOT-Medi"/>
          <w:color w:val="EB4F26"/>
          <w:shd w:val="clear" w:color="auto" w:fill="FFFFFF"/>
        </w:rPr>
        <w:t xml:space="preserve"> clean energy</w:t>
      </w:r>
      <w:r w:rsidR="00B8630C">
        <w:rPr>
          <w:rFonts w:ascii="TisaOT-Medi" w:eastAsiaTheme="minorEastAsia" w:hAnsi="TisaOT-Medi" w:cs="TisaOT-Medi"/>
          <w:color w:val="EB4F26"/>
          <w:shd w:val="clear" w:color="auto" w:fill="FFFFFF"/>
        </w:rPr>
        <w:t xml:space="preserve"> pathways for affordability and reliability</w:t>
      </w:r>
    </w:p>
    <w:p w14:paraId="49CA4057" w14:textId="77777777" w:rsidR="00170C58" w:rsidRDefault="00170C58" w:rsidP="00170C58">
      <w:pPr>
        <w:pStyle w:val="paragraph"/>
        <w:spacing w:before="0" w:beforeAutospacing="0" w:after="0" w:afterAutospacing="0"/>
        <w:textAlignment w:val="baseline"/>
        <w:rPr>
          <w:rFonts w:ascii="Segoe UI" w:hAnsi="Segoe UI" w:cs="Segoe UI"/>
          <w:color w:val="EB4F26"/>
          <w:sz w:val="18"/>
          <w:szCs w:val="18"/>
        </w:rPr>
      </w:pPr>
    </w:p>
    <w:p w14:paraId="6F1337AC" w14:textId="47ACC7FD" w:rsidR="00170C58" w:rsidRDefault="00B90847" w:rsidP="00170C58">
      <w:pPr>
        <w:numPr>
          <w:ilvl w:val="1"/>
          <w:numId w:val="0"/>
        </w:numPr>
        <w:spacing w:after="0"/>
        <w:rPr>
          <w:rStyle w:val="normaltextrun"/>
          <w:rFonts w:eastAsiaTheme="minorEastAsia"/>
          <w:szCs w:val="20"/>
        </w:rPr>
      </w:pPr>
      <w:r>
        <w:rPr>
          <w:rStyle w:val="normaltextrun"/>
          <w:rFonts w:eastAsiaTheme="minorEastAsia"/>
          <w:szCs w:val="20"/>
        </w:rPr>
        <w:t>WINCHESTER, MA</w:t>
      </w:r>
      <w:r w:rsidR="00170C58">
        <w:rPr>
          <w:rStyle w:val="normaltextrun"/>
          <w:rFonts w:eastAsiaTheme="minorEastAsia"/>
          <w:szCs w:val="20"/>
        </w:rPr>
        <w:t xml:space="preserve"> — Today, Massachusetts </w:t>
      </w:r>
      <w:r>
        <w:rPr>
          <w:rStyle w:val="normaltextrun"/>
          <w:rFonts w:eastAsiaTheme="minorEastAsia"/>
          <w:szCs w:val="20"/>
        </w:rPr>
        <w:t>Governor Maura Healey</w:t>
      </w:r>
      <w:r w:rsidR="00176D6D">
        <w:rPr>
          <w:rStyle w:val="normaltextrun"/>
          <w:rFonts w:eastAsiaTheme="minorEastAsia"/>
          <w:szCs w:val="20"/>
        </w:rPr>
        <w:t xml:space="preserve"> and state energy officials </w:t>
      </w:r>
      <w:hyperlink r:id="rId11" w:history="1">
        <w:r w:rsidR="00176D6D" w:rsidRPr="00186463">
          <w:rPr>
            <w:rStyle w:val="Hyperlink"/>
            <w:rFonts w:eastAsiaTheme="minorEastAsia"/>
            <w:szCs w:val="20"/>
          </w:rPr>
          <w:t>announced</w:t>
        </w:r>
      </w:hyperlink>
      <w:r w:rsidR="00176D6D">
        <w:rPr>
          <w:rStyle w:val="normaltextrun"/>
          <w:rFonts w:eastAsiaTheme="minorEastAsia"/>
          <w:szCs w:val="20"/>
        </w:rPr>
        <w:t xml:space="preserve"> a timely and important new Executive Order aimed at driving a coordinated</w:t>
      </w:r>
      <w:r w:rsidR="00FE506C">
        <w:rPr>
          <w:rStyle w:val="normaltextrun"/>
          <w:rFonts w:eastAsiaTheme="minorEastAsia"/>
          <w:szCs w:val="20"/>
        </w:rPr>
        <w:t>, 15 gigawatt (GW)</w:t>
      </w:r>
      <w:r w:rsidR="00176D6D">
        <w:rPr>
          <w:rStyle w:val="normaltextrun"/>
          <w:rFonts w:eastAsiaTheme="minorEastAsia"/>
          <w:szCs w:val="20"/>
        </w:rPr>
        <w:t xml:space="preserve"> build-out of clean energy resources to meet the pressing</w:t>
      </w:r>
      <w:r w:rsidR="00E7241D">
        <w:rPr>
          <w:rStyle w:val="normaltextrun"/>
          <w:rFonts w:eastAsiaTheme="minorEastAsia"/>
          <w:szCs w:val="20"/>
        </w:rPr>
        <w:t xml:space="preserve"> affordability and reliability</w:t>
      </w:r>
      <w:r w:rsidR="00176D6D">
        <w:rPr>
          <w:rStyle w:val="normaltextrun"/>
          <w:rFonts w:eastAsiaTheme="minorEastAsia"/>
          <w:szCs w:val="20"/>
        </w:rPr>
        <w:t xml:space="preserve"> needs of the </w:t>
      </w:r>
      <w:r w:rsidR="00E7241D">
        <w:rPr>
          <w:rStyle w:val="normaltextrun"/>
          <w:rFonts w:eastAsiaTheme="minorEastAsia"/>
          <w:szCs w:val="20"/>
        </w:rPr>
        <w:t>moment.</w:t>
      </w:r>
      <w:r w:rsidR="00A168D2">
        <w:rPr>
          <w:rStyle w:val="normaltextrun"/>
          <w:rFonts w:eastAsiaTheme="minorEastAsia"/>
          <w:szCs w:val="20"/>
        </w:rPr>
        <w:t xml:space="preserve"> </w:t>
      </w:r>
      <w:r w:rsidR="000546BA">
        <w:rPr>
          <w:rStyle w:val="normaltextrun"/>
          <w:rFonts w:eastAsiaTheme="minorEastAsia"/>
          <w:szCs w:val="20"/>
        </w:rPr>
        <w:t xml:space="preserve">Coming on the heels of continued hostility and intransigence </w:t>
      </w:r>
      <w:r w:rsidR="00056CE2">
        <w:rPr>
          <w:rStyle w:val="normaltextrun"/>
          <w:rFonts w:eastAsiaTheme="minorEastAsia"/>
          <w:szCs w:val="20"/>
        </w:rPr>
        <w:t xml:space="preserve">on energy policy from the federal government, today’s action </w:t>
      </w:r>
      <w:r w:rsidR="00813CEE">
        <w:rPr>
          <w:rStyle w:val="normaltextrun"/>
          <w:rFonts w:eastAsiaTheme="minorEastAsia"/>
          <w:szCs w:val="20"/>
        </w:rPr>
        <w:t>leans strongly into the substanti</w:t>
      </w:r>
      <w:r w:rsidR="00A20105">
        <w:rPr>
          <w:rStyle w:val="normaltextrun"/>
          <w:rFonts w:eastAsiaTheme="minorEastAsia"/>
          <w:szCs w:val="20"/>
        </w:rPr>
        <w:t>al</w:t>
      </w:r>
      <w:r w:rsidR="00813CEE">
        <w:rPr>
          <w:rStyle w:val="normaltextrun"/>
          <w:rFonts w:eastAsiaTheme="minorEastAsia"/>
          <w:szCs w:val="20"/>
        </w:rPr>
        <w:t xml:space="preserve"> legal and policy authorities that states possess</w:t>
      </w:r>
      <w:r w:rsidR="00A20105">
        <w:rPr>
          <w:rStyle w:val="normaltextrun"/>
          <w:rFonts w:eastAsiaTheme="minorEastAsia"/>
          <w:szCs w:val="20"/>
        </w:rPr>
        <w:t xml:space="preserve"> to shape their energy future and serve as a bulwark against federal backsliding. And critically, the </w:t>
      </w:r>
      <w:r w:rsidR="00DF282F">
        <w:rPr>
          <w:rStyle w:val="normaltextrun"/>
          <w:rFonts w:eastAsiaTheme="minorEastAsia"/>
          <w:szCs w:val="20"/>
        </w:rPr>
        <w:t xml:space="preserve">Executive Order represents a compelling and effective </w:t>
      </w:r>
      <w:r w:rsidR="006D0335">
        <w:rPr>
          <w:rStyle w:val="normaltextrun"/>
          <w:rFonts w:eastAsiaTheme="minorEastAsia"/>
          <w:szCs w:val="20"/>
        </w:rPr>
        <w:t xml:space="preserve">portfolio of solutions to counter the </w:t>
      </w:r>
      <w:r w:rsidR="00CD3B58">
        <w:rPr>
          <w:rStyle w:val="normaltextrun"/>
          <w:rFonts w:eastAsiaTheme="minorEastAsia"/>
          <w:szCs w:val="20"/>
        </w:rPr>
        <w:t>continued</w:t>
      </w:r>
      <w:r w:rsidR="006D0335">
        <w:rPr>
          <w:rStyle w:val="normaltextrun"/>
          <w:rFonts w:eastAsiaTheme="minorEastAsia"/>
          <w:szCs w:val="20"/>
        </w:rPr>
        <w:t xml:space="preserve"> </w:t>
      </w:r>
      <w:hyperlink r:id="rId12" w:history="1">
        <w:r w:rsidR="002A38DE" w:rsidRPr="002A38DE">
          <w:rPr>
            <w:rStyle w:val="Hyperlink"/>
            <w:rFonts w:eastAsiaTheme="minorEastAsia"/>
            <w:szCs w:val="20"/>
          </w:rPr>
          <w:t>misguided</w:t>
        </w:r>
      </w:hyperlink>
      <w:r w:rsidR="002A38DE">
        <w:rPr>
          <w:rStyle w:val="normaltextrun"/>
          <w:rFonts w:eastAsiaTheme="minorEastAsia"/>
          <w:szCs w:val="20"/>
        </w:rPr>
        <w:t xml:space="preserve"> </w:t>
      </w:r>
      <w:r w:rsidR="006D0335">
        <w:rPr>
          <w:rStyle w:val="normaltextrun"/>
          <w:rFonts w:eastAsiaTheme="minorEastAsia"/>
          <w:szCs w:val="20"/>
        </w:rPr>
        <w:t>pressure campaign to double-down on the Commonwealth’s overreliance on natural gas</w:t>
      </w:r>
      <w:r w:rsidR="00881A83">
        <w:rPr>
          <w:rStyle w:val="normaltextrun"/>
          <w:rFonts w:eastAsiaTheme="minorEastAsia"/>
          <w:szCs w:val="20"/>
        </w:rPr>
        <w:t xml:space="preserve"> </w:t>
      </w:r>
      <w:r w:rsidR="00CD3B58">
        <w:rPr>
          <w:rStyle w:val="normaltextrun"/>
          <w:rFonts w:eastAsiaTheme="minorEastAsia"/>
          <w:szCs w:val="20"/>
        </w:rPr>
        <w:t>with more interstate pipeline capacity</w:t>
      </w:r>
      <w:r w:rsidR="002A38DE">
        <w:rPr>
          <w:rStyle w:val="normaltextrun"/>
          <w:rFonts w:eastAsiaTheme="minorEastAsia"/>
          <w:szCs w:val="20"/>
        </w:rPr>
        <w:t xml:space="preserve">. </w:t>
      </w:r>
      <w:r w:rsidR="00170C58">
        <w:rPr>
          <w:rStyle w:val="normaltextrun"/>
          <w:rFonts w:eastAsiaTheme="minorEastAsia"/>
          <w:szCs w:val="20"/>
        </w:rPr>
        <w:t xml:space="preserve">Acadia Center applauds </w:t>
      </w:r>
      <w:r w:rsidR="00A81908">
        <w:rPr>
          <w:rStyle w:val="normaltextrun"/>
          <w:rFonts w:eastAsiaTheme="minorEastAsia"/>
          <w:szCs w:val="20"/>
        </w:rPr>
        <w:t xml:space="preserve">the </w:t>
      </w:r>
      <w:r w:rsidR="002A38DE">
        <w:rPr>
          <w:rStyle w:val="normaltextrun"/>
          <w:rFonts w:eastAsiaTheme="minorEastAsia"/>
          <w:szCs w:val="20"/>
        </w:rPr>
        <w:t>Healey-Driscoll Administration</w:t>
      </w:r>
      <w:r w:rsidR="00170C58">
        <w:rPr>
          <w:rStyle w:val="normaltextrun"/>
          <w:rFonts w:eastAsiaTheme="minorEastAsia"/>
          <w:szCs w:val="20"/>
        </w:rPr>
        <w:t xml:space="preserve"> for </w:t>
      </w:r>
      <w:r w:rsidR="002A38DE">
        <w:rPr>
          <w:rStyle w:val="normaltextrun"/>
          <w:rFonts w:eastAsiaTheme="minorEastAsia"/>
          <w:szCs w:val="20"/>
        </w:rPr>
        <w:t>sta</w:t>
      </w:r>
      <w:r w:rsidR="00696829">
        <w:rPr>
          <w:rStyle w:val="normaltextrun"/>
          <w:rFonts w:eastAsiaTheme="minorEastAsia"/>
          <w:szCs w:val="20"/>
        </w:rPr>
        <w:t xml:space="preserve">nding strong against such counterproductive proposals and </w:t>
      </w:r>
      <w:r w:rsidR="0018336B">
        <w:rPr>
          <w:rStyle w:val="normaltextrun"/>
          <w:rFonts w:eastAsiaTheme="minorEastAsia"/>
          <w:szCs w:val="20"/>
        </w:rPr>
        <w:t>laying out a ten-year plan that can move the Commonwealth and region more decisively in the direction it needs to go</w:t>
      </w:r>
      <w:r w:rsidR="00170C58">
        <w:rPr>
          <w:rStyle w:val="normaltextrun"/>
          <w:rFonts w:eastAsiaTheme="minorEastAsia"/>
          <w:szCs w:val="20"/>
        </w:rPr>
        <w:t xml:space="preserve">. </w:t>
      </w:r>
      <w:r w:rsidR="001130CF">
        <w:rPr>
          <w:rStyle w:val="normaltextrun"/>
          <w:rFonts w:eastAsiaTheme="minorEastAsia"/>
          <w:szCs w:val="20"/>
        </w:rPr>
        <w:t xml:space="preserve">It </w:t>
      </w:r>
      <w:r w:rsidR="007F4FF3">
        <w:rPr>
          <w:rStyle w:val="normaltextrun"/>
          <w:rFonts w:eastAsiaTheme="minorEastAsia"/>
          <w:szCs w:val="20"/>
        </w:rPr>
        <w:t>is</w:t>
      </w:r>
      <w:r w:rsidR="001130CF">
        <w:rPr>
          <w:rStyle w:val="normaltextrun"/>
          <w:rFonts w:eastAsiaTheme="minorEastAsia"/>
          <w:szCs w:val="20"/>
        </w:rPr>
        <w:t xml:space="preserve"> essential </w:t>
      </w:r>
      <w:r w:rsidR="007F4FF3">
        <w:rPr>
          <w:rStyle w:val="normaltextrun"/>
          <w:rFonts w:eastAsiaTheme="minorEastAsia"/>
          <w:szCs w:val="20"/>
        </w:rPr>
        <w:t>that</w:t>
      </w:r>
      <w:r w:rsidR="001130CF">
        <w:rPr>
          <w:rStyle w:val="normaltextrun"/>
          <w:rFonts w:eastAsiaTheme="minorEastAsia"/>
          <w:szCs w:val="20"/>
        </w:rPr>
        <w:t xml:space="preserve"> the review of natural gas and oil storage </w:t>
      </w:r>
      <w:r w:rsidR="00425426">
        <w:rPr>
          <w:rStyle w:val="normaltextrun"/>
          <w:rFonts w:eastAsiaTheme="minorEastAsia"/>
          <w:szCs w:val="20"/>
        </w:rPr>
        <w:t xml:space="preserve">capacity directed </w:t>
      </w:r>
      <w:r w:rsidR="007F4FF3">
        <w:rPr>
          <w:rStyle w:val="normaltextrun"/>
          <w:rFonts w:eastAsiaTheme="minorEastAsia"/>
          <w:szCs w:val="20"/>
        </w:rPr>
        <w:t>by</w:t>
      </w:r>
      <w:r w:rsidR="00425426">
        <w:rPr>
          <w:rStyle w:val="normaltextrun"/>
          <w:rFonts w:eastAsiaTheme="minorEastAsia"/>
          <w:szCs w:val="20"/>
        </w:rPr>
        <w:t xml:space="preserve"> the Executive Order </w:t>
      </w:r>
      <w:r w:rsidR="00061E44">
        <w:rPr>
          <w:rStyle w:val="normaltextrun"/>
          <w:rFonts w:eastAsiaTheme="minorEastAsia"/>
          <w:szCs w:val="20"/>
        </w:rPr>
        <w:t>scrutinize</w:t>
      </w:r>
      <w:r w:rsidR="00CF7BE1">
        <w:rPr>
          <w:rStyle w:val="normaltextrun"/>
          <w:rFonts w:eastAsiaTheme="minorEastAsia"/>
          <w:szCs w:val="20"/>
        </w:rPr>
        <w:t xml:space="preserve"> all existing and/or newly proposed fossil fuel </w:t>
      </w:r>
      <w:r w:rsidR="007F4FF3">
        <w:rPr>
          <w:rStyle w:val="normaltextrun"/>
          <w:rFonts w:eastAsiaTheme="minorEastAsia"/>
          <w:szCs w:val="20"/>
        </w:rPr>
        <w:t>resources</w:t>
      </w:r>
      <w:r w:rsidR="00CF7BE1">
        <w:rPr>
          <w:rStyle w:val="normaltextrun"/>
          <w:rFonts w:eastAsiaTheme="minorEastAsia"/>
          <w:szCs w:val="20"/>
        </w:rPr>
        <w:t xml:space="preserve"> </w:t>
      </w:r>
      <w:r w:rsidR="001B4D44">
        <w:rPr>
          <w:rStyle w:val="normaltextrun"/>
          <w:rFonts w:eastAsiaTheme="minorEastAsia"/>
          <w:szCs w:val="20"/>
        </w:rPr>
        <w:t xml:space="preserve">for compatibility and compliance with </w:t>
      </w:r>
      <w:r w:rsidR="00981944">
        <w:rPr>
          <w:rStyle w:val="normaltextrun"/>
          <w:rFonts w:eastAsiaTheme="minorEastAsia"/>
          <w:szCs w:val="20"/>
        </w:rPr>
        <w:t>legally mandated emission reduction pathways</w:t>
      </w:r>
      <w:r w:rsidR="003F7350">
        <w:rPr>
          <w:rStyle w:val="normaltextrun"/>
          <w:rFonts w:eastAsiaTheme="minorEastAsia"/>
          <w:szCs w:val="20"/>
        </w:rPr>
        <w:t xml:space="preserve">, </w:t>
      </w:r>
      <w:r w:rsidR="006270C5">
        <w:rPr>
          <w:rStyle w:val="normaltextrun"/>
          <w:rFonts w:eastAsiaTheme="minorEastAsia"/>
          <w:szCs w:val="20"/>
        </w:rPr>
        <w:t xml:space="preserve">including by applying </w:t>
      </w:r>
      <w:r w:rsidR="00EE51AD">
        <w:rPr>
          <w:rStyle w:val="normaltextrun"/>
          <w:rFonts w:eastAsiaTheme="minorEastAsia"/>
          <w:szCs w:val="20"/>
        </w:rPr>
        <w:t>robust non-pipeline/non-</w:t>
      </w:r>
      <w:r w:rsidR="00FB21BB">
        <w:rPr>
          <w:rStyle w:val="normaltextrun"/>
          <w:rFonts w:eastAsiaTheme="minorEastAsia"/>
          <w:szCs w:val="20"/>
        </w:rPr>
        <w:t xml:space="preserve">fuel </w:t>
      </w:r>
      <w:r w:rsidR="001A4945">
        <w:rPr>
          <w:rStyle w:val="normaltextrun"/>
          <w:rFonts w:eastAsiaTheme="minorEastAsia"/>
          <w:szCs w:val="20"/>
        </w:rPr>
        <w:t>solutions</w:t>
      </w:r>
      <w:r w:rsidR="00FB21BB">
        <w:rPr>
          <w:rStyle w:val="normaltextrun"/>
          <w:rFonts w:eastAsiaTheme="minorEastAsia"/>
          <w:szCs w:val="20"/>
        </w:rPr>
        <w:t xml:space="preserve"> screening</w:t>
      </w:r>
      <w:r w:rsidR="00325F8E">
        <w:rPr>
          <w:rStyle w:val="normaltextrun"/>
          <w:rFonts w:eastAsiaTheme="minorEastAsia"/>
          <w:szCs w:val="20"/>
        </w:rPr>
        <w:t xml:space="preserve"> and maximizing </w:t>
      </w:r>
      <w:r w:rsidR="006C38B9">
        <w:rPr>
          <w:rStyle w:val="normaltextrun"/>
          <w:rFonts w:eastAsiaTheme="minorEastAsia"/>
          <w:szCs w:val="20"/>
        </w:rPr>
        <w:t>contributions from demand-side flexibility</w:t>
      </w:r>
      <w:r w:rsidR="00BC54F5">
        <w:rPr>
          <w:rStyle w:val="normaltextrun"/>
          <w:rFonts w:eastAsiaTheme="minorEastAsia"/>
          <w:szCs w:val="20"/>
        </w:rPr>
        <w:t>.</w:t>
      </w:r>
    </w:p>
    <w:p w14:paraId="5F3A8A94" w14:textId="614167EB" w:rsidR="006851C8" w:rsidRDefault="006851C8" w:rsidP="006851C8">
      <w:pPr>
        <w:numPr>
          <w:ilvl w:val="1"/>
          <w:numId w:val="0"/>
        </w:numPr>
        <w:spacing w:after="0"/>
        <w:rPr>
          <w:rStyle w:val="normaltextrun"/>
          <w:rFonts w:eastAsiaTheme="minorEastAsia"/>
          <w:szCs w:val="20"/>
        </w:rPr>
      </w:pPr>
    </w:p>
    <w:p w14:paraId="571A4265" w14:textId="19318113" w:rsidR="00170C58" w:rsidRPr="00B33E16" w:rsidRDefault="00170C58" w:rsidP="00170C58">
      <w:pPr>
        <w:numPr>
          <w:ilvl w:val="1"/>
          <w:numId w:val="0"/>
        </w:numPr>
        <w:spacing w:after="0"/>
        <w:rPr>
          <w:rStyle w:val="normaltextrun"/>
          <w:rFonts w:eastAsiaTheme="minorEastAsia"/>
          <w:szCs w:val="20"/>
        </w:rPr>
      </w:pPr>
      <w:r w:rsidRPr="004B5424">
        <w:rPr>
          <w:rStyle w:val="normaltextrun"/>
          <w:rFonts w:eastAsiaTheme="minorEastAsia"/>
          <w:b/>
          <w:bCs/>
          <w:szCs w:val="20"/>
        </w:rPr>
        <w:t>Kyle Murray, Director</w:t>
      </w:r>
      <w:r>
        <w:rPr>
          <w:rStyle w:val="normaltextrun"/>
          <w:rFonts w:eastAsiaTheme="minorEastAsia"/>
          <w:b/>
          <w:bCs/>
          <w:szCs w:val="20"/>
        </w:rPr>
        <w:t xml:space="preserve">, </w:t>
      </w:r>
      <w:r w:rsidRPr="004B5424">
        <w:rPr>
          <w:rStyle w:val="normaltextrun"/>
          <w:rFonts w:eastAsiaTheme="minorEastAsia"/>
          <w:b/>
          <w:bCs/>
          <w:szCs w:val="20"/>
        </w:rPr>
        <w:t>State Program Implementation at Acadia Center</w:t>
      </w:r>
      <w:r>
        <w:rPr>
          <w:rStyle w:val="normaltextrun"/>
          <w:rFonts w:eastAsiaTheme="minorEastAsia"/>
          <w:szCs w:val="20"/>
        </w:rPr>
        <w:t>, said,</w:t>
      </w:r>
      <w:r w:rsidR="003C77AF">
        <w:rPr>
          <w:rFonts w:eastAsiaTheme="minorEastAsia"/>
          <w:szCs w:val="20"/>
        </w:rPr>
        <w:t xml:space="preserve"> “At a time</w:t>
      </w:r>
      <w:r w:rsidR="00B52C12">
        <w:rPr>
          <w:rFonts w:eastAsiaTheme="minorEastAsia"/>
          <w:szCs w:val="20"/>
        </w:rPr>
        <w:t xml:space="preserve"> when </w:t>
      </w:r>
      <w:r w:rsidR="00C664C1">
        <w:rPr>
          <w:rFonts w:eastAsiaTheme="minorEastAsia"/>
          <w:szCs w:val="20"/>
        </w:rPr>
        <w:t xml:space="preserve">some states are </w:t>
      </w:r>
      <w:r w:rsidR="005F0BB9">
        <w:rPr>
          <w:rFonts w:eastAsiaTheme="minorEastAsia"/>
          <w:szCs w:val="20"/>
        </w:rPr>
        <w:t xml:space="preserve">backing off of climate commitments and falsely blaming renewables for rising prices, </w:t>
      </w:r>
      <w:r w:rsidR="00132A3B">
        <w:rPr>
          <w:rFonts w:eastAsiaTheme="minorEastAsia"/>
          <w:szCs w:val="20"/>
        </w:rPr>
        <w:t>I am proud that Massachusetts stays grounded in reality</w:t>
      </w:r>
      <w:r w:rsidR="00C664C1">
        <w:rPr>
          <w:rFonts w:eastAsiaTheme="minorEastAsia"/>
          <w:szCs w:val="20"/>
        </w:rPr>
        <w:t>. I applaud the Healey-Driscoll administration</w:t>
      </w:r>
      <w:r w:rsidR="00233D29">
        <w:rPr>
          <w:rFonts w:eastAsiaTheme="minorEastAsia"/>
          <w:szCs w:val="20"/>
        </w:rPr>
        <w:t xml:space="preserve"> for doubling-down on a </w:t>
      </w:r>
      <w:r w:rsidR="00987848">
        <w:rPr>
          <w:rFonts w:eastAsiaTheme="minorEastAsia"/>
          <w:szCs w:val="20"/>
        </w:rPr>
        <w:t>strategy that will</w:t>
      </w:r>
      <w:r w:rsidR="007652E1">
        <w:rPr>
          <w:rFonts w:eastAsiaTheme="minorEastAsia"/>
          <w:szCs w:val="20"/>
        </w:rPr>
        <w:t xml:space="preserve"> actually deliver energy independence and affordability to the Commonwealth</w:t>
      </w:r>
      <w:r w:rsidR="00F42369">
        <w:rPr>
          <w:rFonts w:eastAsiaTheme="minorEastAsia"/>
          <w:szCs w:val="20"/>
        </w:rPr>
        <w:t>.”</w:t>
      </w:r>
    </w:p>
    <w:p w14:paraId="25720E5C" w14:textId="77777777" w:rsidR="00170C58" w:rsidRDefault="00170C58" w:rsidP="00170C58">
      <w:pPr>
        <w:numPr>
          <w:ilvl w:val="1"/>
          <w:numId w:val="0"/>
        </w:numPr>
        <w:spacing w:after="0"/>
        <w:rPr>
          <w:rStyle w:val="normaltextrun"/>
          <w:rFonts w:eastAsiaTheme="minorEastAsia"/>
          <w:szCs w:val="20"/>
        </w:rPr>
      </w:pPr>
    </w:p>
    <w:p w14:paraId="19E75B66" w14:textId="375A9682" w:rsidR="00F42369" w:rsidRPr="00B33E16" w:rsidRDefault="00F42369" w:rsidP="00F42369">
      <w:pPr>
        <w:numPr>
          <w:ilvl w:val="1"/>
          <w:numId w:val="0"/>
        </w:numPr>
        <w:spacing w:after="0"/>
        <w:rPr>
          <w:rStyle w:val="normaltextrun"/>
          <w:rFonts w:eastAsiaTheme="minorEastAsia"/>
          <w:szCs w:val="20"/>
        </w:rPr>
      </w:pPr>
      <w:r>
        <w:rPr>
          <w:rStyle w:val="normaltextrun"/>
          <w:rFonts w:eastAsiaTheme="minorEastAsia"/>
          <w:b/>
          <w:bCs/>
          <w:szCs w:val="20"/>
        </w:rPr>
        <w:t>Jamie Dickerson</w:t>
      </w:r>
      <w:r w:rsidRPr="004B5424">
        <w:rPr>
          <w:rStyle w:val="normaltextrun"/>
          <w:rFonts w:eastAsiaTheme="minorEastAsia"/>
          <w:b/>
          <w:bCs/>
          <w:szCs w:val="20"/>
        </w:rPr>
        <w:t>,</w:t>
      </w:r>
      <w:r>
        <w:rPr>
          <w:rStyle w:val="normaltextrun"/>
          <w:rFonts w:eastAsiaTheme="minorEastAsia"/>
          <w:b/>
          <w:bCs/>
          <w:szCs w:val="20"/>
        </w:rPr>
        <w:t xml:space="preserve"> Senior</w:t>
      </w:r>
      <w:r w:rsidRPr="004B5424">
        <w:rPr>
          <w:rStyle w:val="normaltextrun"/>
          <w:rFonts w:eastAsiaTheme="minorEastAsia"/>
          <w:b/>
          <w:bCs/>
          <w:szCs w:val="20"/>
        </w:rPr>
        <w:t xml:space="preserve"> Director</w:t>
      </w:r>
      <w:r>
        <w:rPr>
          <w:rStyle w:val="normaltextrun"/>
          <w:rFonts w:eastAsiaTheme="minorEastAsia"/>
          <w:b/>
          <w:bCs/>
          <w:szCs w:val="20"/>
        </w:rPr>
        <w:t>, Climate and Clean Energy Programs</w:t>
      </w:r>
      <w:r w:rsidRPr="004B5424">
        <w:rPr>
          <w:rStyle w:val="normaltextrun"/>
          <w:rFonts w:eastAsiaTheme="minorEastAsia"/>
          <w:b/>
          <w:bCs/>
          <w:szCs w:val="20"/>
        </w:rPr>
        <w:t xml:space="preserve"> at Acadia Center</w:t>
      </w:r>
      <w:r>
        <w:rPr>
          <w:rStyle w:val="normaltextrun"/>
          <w:rFonts w:eastAsiaTheme="minorEastAsia"/>
          <w:szCs w:val="20"/>
        </w:rPr>
        <w:t xml:space="preserve">, said, </w:t>
      </w:r>
      <w:r w:rsidRPr="00EA354A">
        <w:rPr>
          <w:rFonts w:eastAsiaTheme="minorEastAsia"/>
          <w:szCs w:val="20"/>
        </w:rPr>
        <w:t>“</w:t>
      </w:r>
      <w:r w:rsidR="00D26B27">
        <w:rPr>
          <w:rFonts w:eastAsiaTheme="minorEastAsia"/>
          <w:szCs w:val="20"/>
        </w:rPr>
        <w:t xml:space="preserve">Recent events unfolding in global energy markets demonstrate </w:t>
      </w:r>
      <w:r w:rsidR="00ED00E3">
        <w:rPr>
          <w:rFonts w:eastAsiaTheme="minorEastAsia"/>
          <w:szCs w:val="20"/>
        </w:rPr>
        <w:t xml:space="preserve">all too vividly how susceptible current fossil fuel-based energy systems are to </w:t>
      </w:r>
      <w:r w:rsidR="000B54DD">
        <w:rPr>
          <w:rFonts w:eastAsiaTheme="minorEastAsia"/>
          <w:szCs w:val="20"/>
        </w:rPr>
        <w:t>price shock events and</w:t>
      </w:r>
      <w:r w:rsidR="006F0BE5">
        <w:rPr>
          <w:rFonts w:eastAsiaTheme="minorEastAsia"/>
          <w:szCs w:val="20"/>
        </w:rPr>
        <w:t xml:space="preserve"> </w:t>
      </w:r>
      <w:r w:rsidR="00AF1AFB">
        <w:rPr>
          <w:rFonts w:eastAsiaTheme="minorEastAsia"/>
          <w:szCs w:val="20"/>
        </w:rPr>
        <w:t xml:space="preserve">extreme </w:t>
      </w:r>
      <w:r w:rsidR="006F0BE5">
        <w:rPr>
          <w:rFonts w:eastAsiaTheme="minorEastAsia"/>
          <w:szCs w:val="20"/>
        </w:rPr>
        <w:t>volatility</w:t>
      </w:r>
      <w:r w:rsidR="00AF1AFB">
        <w:rPr>
          <w:rFonts w:eastAsiaTheme="minorEastAsia"/>
          <w:szCs w:val="20"/>
        </w:rPr>
        <w:t xml:space="preserve"> in</w:t>
      </w:r>
      <w:r w:rsidR="000B54DD">
        <w:rPr>
          <w:rFonts w:eastAsiaTheme="minorEastAsia"/>
          <w:szCs w:val="20"/>
        </w:rPr>
        <w:t xml:space="preserve"> </w:t>
      </w:r>
      <w:r w:rsidR="006F0BE5">
        <w:rPr>
          <w:rFonts w:eastAsiaTheme="minorEastAsia"/>
          <w:szCs w:val="20"/>
        </w:rPr>
        <w:t xml:space="preserve">fuel costs. </w:t>
      </w:r>
      <w:r w:rsidR="00556F77">
        <w:rPr>
          <w:rFonts w:eastAsiaTheme="minorEastAsia"/>
          <w:szCs w:val="20"/>
        </w:rPr>
        <w:t xml:space="preserve">Proposals </w:t>
      </w:r>
      <w:r w:rsidR="00515376">
        <w:rPr>
          <w:rFonts w:eastAsiaTheme="minorEastAsia"/>
          <w:szCs w:val="20"/>
        </w:rPr>
        <w:t>such as</w:t>
      </w:r>
      <w:r w:rsidR="00556F77">
        <w:rPr>
          <w:rFonts w:eastAsiaTheme="minorEastAsia"/>
          <w:szCs w:val="20"/>
        </w:rPr>
        <w:t xml:space="preserve"> develop</w:t>
      </w:r>
      <w:r w:rsidR="00515376">
        <w:rPr>
          <w:rFonts w:eastAsiaTheme="minorEastAsia"/>
          <w:szCs w:val="20"/>
        </w:rPr>
        <w:t>ing</w:t>
      </w:r>
      <w:r w:rsidR="00556F77">
        <w:rPr>
          <w:rFonts w:eastAsiaTheme="minorEastAsia"/>
          <w:szCs w:val="20"/>
        </w:rPr>
        <w:t xml:space="preserve"> new natural gas pipeline </w:t>
      </w:r>
      <w:r w:rsidR="00450FF0">
        <w:rPr>
          <w:rFonts w:eastAsiaTheme="minorEastAsia"/>
          <w:szCs w:val="20"/>
        </w:rPr>
        <w:t xml:space="preserve">capacity will only do more to exacerbate the overreliance and overexposure </w:t>
      </w:r>
      <w:r w:rsidR="00515376">
        <w:rPr>
          <w:rFonts w:eastAsiaTheme="minorEastAsia"/>
          <w:szCs w:val="20"/>
        </w:rPr>
        <w:t xml:space="preserve">New England ratepayers already face. The Healey-Driscoll Administration has wisely chosen to keep the focus where it needs to be: on promoting new clean electricity supply, new energy storage, new grid connections, and new demand-side flexibility measures, which </w:t>
      </w:r>
      <w:r w:rsidR="00C610E8">
        <w:rPr>
          <w:rFonts w:eastAsiaTheme="minorEastAsia"/>
          <w:szCs w:val="20"/>
        </w:rPr>
        <w:t xml:space="preserve">– at the scale of 10+ gigawatts – </w:t>
      </w:r>
      <w:r w:rsidR="00515376">
        <w:rPr>
          <w:rFonts w:eastAsiaTheme="minorEastAsia"/>
          <w:szCs w:val="20"/>
        </w:rPr>
        <w:t xml:space="preserve">can collectively deliver </w:t>
      </w:r>
      <w:r w:rsidR="00AF1AFB">
        <w:rPr>
          <w:rFonts w:eastAsiaTheme="minorEastAsia"/>
          <w:szCs w:val="20"/>
        </w:rPr>
        <w:t xml:space="preserve">a clean energy pipeline to meet </w:t>
      </w:r>
      <w:r w:rsidR="00515376">
        <w:rPr>
          <w:rFonts w:eastAsiaTheme="minorEastAsia"/>
          <w:szCs w:val="20"/>
        </w:rPr>
        <w:t>the reliability needs of the region at</w:t>
      </w:r>
      <w:r w:rsidR="00B906BC">
        <w:rPr>
          <w:rFonts w:eastAsiaTheme="minorEastAsia"/>
          <w:szCs w:val="20"/>
        </w:rPr>
        <w:t xml:space="preserve"> far </w:t>
      </w:r>
      <w:r w:rsidR="00515376">
        <w:rPr>
          <w:rFonts w:eastAsiaTheme="minorEastAsia"/>
          <w:szCs w:val="20"/>
        </w:rPr>
        <w:t>lower cost.</w:t>
      </w:r>
      <w:r>
        <w:rPr>
          <w:rFonts w:eastAsiaTheme="minorEastAsia"/>
          <w:szCs w:val="20"/>
        </w:rPr>
        <w:t>”</w:t>
      </w:r>
    </w:p>
    <w:p w14:paraId="6AE2CD35" w14:textId="77777777" w:rsidR="00F42369" w:rsidRDefault="00F42369" w:rsidP="00170C58">
      <w:pPr>
        <w:numPr>
          <w:ilvl w:val="1"/>
          <w:numId w:val="0"/>
        </w:numPr>
        <w:spacing w:after="0"/>
        <w:rPr>
          <w:rStyle w:val="normaltextrun"/>
          <w:rFonts w:eastAsiaTheme="minorEastAsia"/>
          <w:szCs w:val="20"/>
        </w:rPr>
      </w:pPr>
    </w:p>
    <w:p w14:paraId="203B6896" w14:textId="2571CE94" w:rsidR="00FC4431" w:rsidRDefault="00FC4431" w:rsidP="00FC4431">
      <w:pPr>
        <w:numPr>
          <w:ilvl w:val="1"/>
          <w:numId w:val="0"/>
        </w:numPr>
        <w:spacing w:after="0"/>
        <w:rPr>
          <w:rStyle w:val="normaltextrun"/>
          <w:rFonts w:eastAsiaTheme="minorEastAsia"/>
          <w:szCs w:val="20"/>
        </w:rPr>
      </w:pPr>
      <w:r>
        <w:rPr>
          <w:rStyle w:val="normaltextrun"/>
          <w:rFonts w:eastAsiaTheme="minorEastAsia"/>
          <w:szCs w:val="20"/>
        </w:rPr>
        <w:t>Acadia Center has previously shared a similar vision about building out a clean energy pipeline for the Northeast region, and the organization is grateful to see this framing mirrored in the Governor’s actions today. The scale of the build-out envisioned in today’s announcement – on the order of 1</w:t>
      </w:r>
      <w:r w:rsidR="00FE506C">
        <w:rPr>
          <w:rStyle w:val="normaltextrun"/>
          <w:rFonts w:eastAsiaTheme="minorEastAsia"/>
          <w:szCs w:val="20"/>
        </w:rPr>
        <w:t>-2</w:t>
      </w:r>
      <w:r>
        <w:rPr>
          <w:rStyle w:val="normaltextrun"/>
          <w:rFonts w:eastAsiaTheme="minorEastAsia"/>
          <w:szCs w:val="20"/>
        </w:rPr>
        <w:t xml:space="preserve"> GW per year for 10 years</w:t>
      </w:r>
      <w:r w:rsidR="00FE506C">
        <w:rPr>
          <w:rStyle w:val="normaltextrun"/>
          <w:rFonts w:eastAsiaTheme="minorEastAsia"/>
          <w:szCs w:val="20"/>
        </w:rPr>
        <w:t xml:space="preserve"> </w:t>
      </w:r>
      <w:r>
        <w:rPr>
          <w:rStyle w:val="normaltextrun"/>
          <w:rFonts w:eastAsiaTheme="minorEastAsia"/>
          <w:szCs w:val="20"/>
        </w:rPr>
        <w:t xml:space="preserve">– would make important strides toward the level of deployment that will ultimately be needed for the region to meet its broader goals for least-cost emissions reductions </w:t>
      </w:r>
      <w:r w:rsidR="009D1319">
        <w:rPr>
          <w:rStyle w:val="normaltextrun"/>
          <w:rFonts w:eastAsiaTheme="minorEastAsia"/>
          <w:szCs w:val="20"/>
        </w:rPr>
        <w:t>and</w:t>
      </w:r>
      <w:r>
        <w:rPr>
          <w:rStyle w:val="normaltextrun"/>
          <w:rFonts w:eastAsiaTheme="minorEastAsia"/>
          <w:szCs w:val="20"/>
        </w:rPr>
        <w:t xml:space="preserve"> preserving reliability. Acadia Center’s </w:t>
      </w:r>
      <w:hyperlink r:id="rId13" w:history="1">
        <w:r w:rsidRPr="00FC4431">
          <w:rPr>
            <w:rStyle w:val="Hyperlink"/>
            <w:rFonts w:eastAsiaTheme="minorEastAsia"/>
            <w:szCs w:val="20"/>
          </w:rPr>
          <w:t>prior analysis</w:t>
        </w:r>
      </w:hyperlink>
      <w:r>
        <w:rPr>
          <w:rStyle w:val="normaltextrun"/>
          <w:rFonts w:eastAsiaTheme="minorEastAsia"/>
          <w:szCs w:val="20"/>
        </w:rPr>
        <w:t xml:space="preserve"> conducted with Clean Air Task Force (CATF) suggested the region would need to ramp up</w:t>
      </w:r>
      <w:r w:rsidR="00BD11DF">
        <w:rPr>
          <w:rStyle w:val="normaltextrun"/>
          <w:rFonts w:eastAsiaTheme="minorEastAsia"/>
          <w:szCs w:val="20"/>
        </w:rPr>
        <w:t xml:space="preserve"> clean energy</w:t>
      </w:r>
      <w:r>
        <w:rPr>
          <w:rStyle w:val="normaltextrun"/>
          <w:rFonts w:eastAsiaTheme="minorEastAsia"/>
          <w:szCs w:val="20"/>
        </w:rPr>
        <w:t xml:space="preserve"> deployments toward an average of 4-5 GW of new clean energy per year</w:t>
      </w:r>
      <w:r w:rsidR="00BD11DF">
        <w:rPr>
          <w:rStyle w:val="normaltextrun"/>
          <w:rFonts w:eastAsiaTheme="minorEastAsia"/>
          <w:szCs w:val="20"/>
        </w:rPr>
        <w:t xml:space="preserve"> over the coming two decades years</w:t>
      </w:r>
      <w:r>
        <w:rPr>
          <w:rStyle w:val="normaltextrun"/>
          <w:rFonts w:eastAsiaTheme="minorEastAsia"/>
          <w:szCs w:val="20"/>
        </w:rPr>
        <w:t xml:space="preserve">. </w:t>
      </w:r>
    </w:p>
    <w:p w14:paraId="52C9BBEE" w14:textId="77777777" w:rsidR="00FC4431" w:rsidRDefault="00FC4431" w:rsidP="00170C58">
      <w:pPr>
        <w:numPr>
          <w:ilvl w:val="1"/>
          <w:numId w:val="0"/>
        </w:numPr>
        <w:spacing w:after="0"/>
        <w:rPr>
          <w:rStyle w:val="normaltextrun"/>
          <w:rFonts w:eastAsiaTheme="minorEastAsia"/>
          <w:szCs w:val="20"/>
        </w:rPr>
      </w:pPr>
    </w:p>
    <w:p w14:paraId="0DC61C0A" w14:textId="4FDD4FDA" w:rsidR="007D6ACE" w:rsidRDefault="009D1319" w:rsidP="00170C58">
      <w:pPr>
        <w:numPr>
          <w:ilvl w:val="1"/>
          <w:numId w:val="0"/>
        </w:numPr>
        <w:spacing w:after="0"/>
        <w:rPr>
          <w:rStyle w:val="normaltextrun"/>
          <w:rFonts w:eastAsiaTheme="minorEastAsia"/>
          <w:szCs w:val="20"/>
        </w:rPr>
      </w:pPr>
      <w:r>
        <w:rPr>
          <w:rStyle w:val="normaltextrun"/>
          <w:rFonts w:eastAsiaTheme="minorEastAsia"/>
          <w:szCs w:val="20"/>
        </w:rPr>
        <w:t xml:space="preserve">Mounting evidence makes clear that </w:t>
      </w:r>
      <w:r w:rsidR="00DB5344">
        <w:rPr>
          <w:rStyle w:val="normaltextrun"/>
          <w:rFonts w:eastAsiaTheme="minorEastAsia"/>
          <w:szCs w:val="20"/>
        </w:rPr>
        <w:t>the fossil fuel alternatives – including adding interstate natural gas pipeline capacity</w:t>
      </w:r>
      <w:r w:rsidR="00942834">
        <w:rPr>
          <w:rStyle w:val="normaltextrun"/>
          <w:rFonts w:eastAsiaTheme="minorEastAsia"/>
          <w:szCs w:val="20"/>
        </w:rPr>
        <w:t xml:space="preserve"> </w:t>
      </w:r>
      <w:r w:rsidR="00DB5344">
        <w:rPr>
          <w:rStyle w:val="normaltextrun"/>
          <w:rFonts w:eastAsiaTheme="minorEastAsia"/>
          <w:szCs w:val="20"/>
        </w:rPr>
        <w:t xml:space="preserve">– </w:t>
      </w:r>
      <w:r w:rsidR="00877E94">
        <w:rPr>
          <w:rStyle w:val="normaltextrun"/>
          <w:rFonts w:eastAsiaTheme="minorEastAsia"/>
          <w:szCs w:val="20"/>
        </w:rPr>
        <w:t xml:space="preserve">would come at substantial added costs to ratepayers. Acadia Center </w:t>
      </w:r>
      <w:hyperlink r:id="rId14" w:history="1">
        <w:r w:rsidR="00877E94" w:rsidRPr="00991236">
          <w:rPr>
            <w:rStyle w:val="Hyperlink"/>
            <w:rFonts w:eastAsiaTheme="minorEastAsia"/>
            <w:szCs w:val="20"/>
          </w:rPr>
          <w:t>recently released analysis</w:t>
        </w:r>
      </w:hyperlink>
      <w:r w:rsidR="00877E94">
        <w:rPr>
          <w:rStyle w:val="normaltextrun"/>
          <w:rFonts w:eastAsiaTheme="minorEastAsia"/>
          <w:szCs w:val="20"/>
        </w:rPr>
        <w:t xml:space="preserve"> breaking down </w:t>
      </w:r>
      <w:r w:rsidR="00CC3B5F">
        <w:rPr>
          <w:rStyle w:val="normaltextrun"/>
          <w:rFonts w:eastAsiaTheme="minorEastAsia"/>
          <w:szCs w:val="20"/>
        </w:rPr>
        <w:t>why</w:t>
      </w:r>
      <w:r w:rsidR="00877E94">
        <w:rPr>
          <w:rStyle w:val="normaltextrun"/>
          <w:rFonts w:eastAsiaTheme="minorEastAsia"/>
          <w:szCs w:val="20"/>
        </w:rPr>
        <w:t xml:space="preserve"> a new natural gas pipeline would in fact exacerbate rather than relieve </w:t>
      </w:r>
      <w:r w:rsidR="00F14B69">
        <w:rPr>
          <w:rStyle w:val="normaltextrun"/>
          <w:rFonts w:eastAsiaTheme="minorEastAsia"/>
          <w:szCs w:val="20"/>
        </w:rPr>
        <w:t xml:space="preserve">energy affordability pressures, </w:t>
      </w:r>
      <w:r w:rsidR="009266DE">
        <w:rPr>
          <w:rStyle w:val="normaltextrun"/>
          <w:rFonts w:eastAsiaTheme="minorEastAsia"/>
          <w:szCs w:val="20"/>
        </w:rPr>
        <w:t xml:space="preserve">including based on the upward pressure on natural gas prices </w:t>
      </w:r>
      <w:r w:rsidR="004B0557">
        <w:rPr>
          <w:rStyle w:val="normaltextrun"/>
          <w:rFonts w:eastAsiaTheme="minorEastAsia"/>
          <w:szCs w:val="20"/>
        </w:rPr>
        <w:t>from</w:t>
      </w:r>
      <w:r w:rsidR="009266DE">
        <w:rPr>
          <w:rStyle w:val="normaltextrun"/>
          <w:rFonts w:eastAsiaTheme="minorEastAsia"/>
          <w:szCs w:val="20"/>
        </w:rPr>
        <w:t xml:space="preserve"> greater exposure to international </w:t>
      </w:r>
      <w:r w:rsidR="00B278CB">
        <w:rPr>
          <w:rStyle w:val="normaltextrun"/>
          <w:rFonts w:eastAsiaTheme="minorEastAsia"/>
          <w:szCs w:val="20"/>
        </w:rPr>
        <w:t>fossil fuel commodity markets, such as Liquefied Natural Gas (LNG)</w:t>
      </w:r>
      <w:r w:rsidR="00AD081F">
        <w:rPr>
          <w:rStyle w:val="normaltextrun"/>
          <w:rFonts w:eastAsiaTheme="minorEastAsia"/>
          <w:szCs w:val="20"/>
        </w:rPr>
        <w:t xml:space="preserve"> </w:t>
      </w:r>
      <w:r w:rsidR="00EA589C">
        <w:rPr>
          <w:rStyle w:val="normaltextrun"/>
          <w:rFonts w:eastAsiaTheme="minorEastAsia"/>
          <w:szCs w:val="20"/>
        </w:rPr>
        <w:t>–</w:t>
      </w:r>
      <w:r w:rsidR="00AD081F">
        <w:rPr>
          <w:rStyle w:val="normaltextrun"/>
          <w:rFonts w:eastAsiaTheme="minorEastAsia"/>
          <w:szCs w:val="20"/>
        </w:rPr>
        <w:t xml:space="preserve"> see</w:t>
      </w:r>
      <w:r w:rsidR="00EA589C">
        <w:rPr>
          <w:rStyle w:val="normaltextrun"/>
          <w:rFonts w:eastAsiaTheme="minorEastAsia"/>
          <w:szCs w:val="20"/>
        </w:rPr>
        <w:t xml:space="preserve"> Figure 1 below</w:t>
      </w:r>
      <w:r w:rsidR="00B278CB">
        <w:rPr>
          <w:rStyle w:val="normaltextrun"/>
          <w:rFonts w:eastAsiaTheme="minorEastAsia"/>
          <w:szCs w:val="20"/>
        </w:rPr>
        <w:t xml:space="preserve">. This dynamic has sadly become even more acute in recent weeks with the price of oil and natural gas rising substantially in response to the </w:t>
      </w:r>
      <w:r w:rsidR="00B4025F">
        <w:rPr>
          <w:rStyle w:val="normaltextrun"/>
          <w:rFonts w:eastAsiaTheme="minorEastAsia"/>
          <w:szCs w:val="20"/>
        </w:rPr>
        <w:t>fuel supply chain disruptions in the Middle East</w:t>
      </w:r>
      <w:r w:rsidR="00C0105B">
        <w:rPr>
          <w:rStyle w:val="normaltextrun"/>
          <w:rFonts w:eastAsiaTheme="minorEastAsia"/>
          <w:szCs w:val="20"/>
        </w:rPr>
        <w:t xml:space="preserve"> (including the world’s single largest LNG facility completely offline in Qatar).</w:t>
      </w:r>
      <w:r w:rsidR="00EA589C">
        <w:rPr>
          <w:rStyle w:val="normaltextrun"/>
          <w:rFonts w:eastAsiaTheme="minorEastAsia"/>
          <w:szCs w:val="20"/>
        </w:rPr>
        <w:t xml:space="preserve"> </w:t>
      </w:r>
      <w:r w:rsidR="00C44506">
        <w:rPr>
          <w:rStyle w:val="normaltextrun"/>
          <w:rFonts w:eastAsiaTheme="minorEastAsia"/>
          <w:szCs w:val="20"/>
        </w:rPr>
        <w:t xml:space="preserve">Today’s overreliance on fossil fuels – New England </w:t>
      </w:r>
      <w:r w:rsidR="00C44506" w:rsidRPr="00D61A4E">
        <w:t>spend</w:t>
      </w:r>
      <w:r w:rsidR="00C44506">
        <w:t>s</w:t>
      </w:r>
      <w:r w:rsidR="00C44506" w:rsidRPr="00D61A4E">
        <w:t xml:space="preserve"> some $75 billion dollars a year on energy and fuel, </w:t>
      </w:r>
      <w:r w:rsidR="00C44506">
        <w:t>two thirds</w:t>
      </w:r>
      <w:r w:rsidR="00C44506" w:rsidRPr="00D61A4E">
        <w:t xml:space="preserve"> of which is spent on oil and gas from outside </w:t>
      </w:r>
      <w:r w:rsidR="00C44506">
        <w:t>the</w:t>
      </w:r>
      <w:r w:rsidR="00C44506" w:rsidRPr="00D61A4E">
        <w:t xml:space="preserve"> region</w:t>
      </w:r>
      <w:r w:rsidR="00C44506">
        <w:t xml:space="preserve"> </w:t>
      </w:r>
      <w:r w:rsidR="00C111CF">
        <w:t>–</w:t>
      </w:r>
      <w:r w:rsidR="00C44506">
        <w:t xml:space="preserve"> </w:t>
      </w:r>
      <w:r w:rsidR="00C111CF">
        <w:t xml:space="preserve">will </w:t>
      </w:r>
      <w:r w:rsidR="006127C7">
        <w:t xml:space="preserve">leave </w:t>
      </w:r>
      <w:r w:rsidR="008C38A1">
        <w:t xml:space="preserve">families and businesses exposed to these rising costs, </w:t>
      </w:r>
      <w:r w:rsidR="00ED42F0">
        <w:t>but for the actions of policymakers to hasten the clean energy transition.</w:t>
      </w:r>
    </w:p>
    <w:p w14:paraId="4CDAD248" w14:textId="77777777" w:rsidR="00942834" w:rsidRDefault="00942834" w:rsidP="00170C58">
      <w:pPr>
        <w:numPr>
          <w:ilvl w:val="1"/>
          <w:numId w:val="0"/>
        </w:numPr>
        <w:spacing w:after="0"/>
        <w:rPr>
          <w:rStyle w:val="normaltextrun"/>
          <w:rFonts w:eastAsiaTheme="minorEastAsia"/>
          <w:szCs w:val="20"/>
        </w:rPr>
      </w:pPr>
    </w:p>
    <w:p w14:paraId="4EA42249" w14:textId="4B8DB405" w:rsidR="007D6ACE" w:rsidRDefault="007D6ACE" w:rsidP="007D6ACE">
      <w:pPr>
        <w:pStyle w:val="ACChartHeading"/>
        <w:rPr>
          <w:rStyle w:val="normaltextrun"/>
          <w:szCs w:val="20"/>
        </w:rPr>
      </w:pPr>
      <w:r>
        <w:rPr>
          <w:rStyle w:val="normaltextrun"/>
          <w:szCs w:val="20"/>
        </w:rPr>
        <w:t xml:space="preserve">Figure 1. Rising Natural Gas Commodity Costs from Rising Exposure to Global LNG Market Forces </w:t>
      </w:r>
    </w:p>
    <w:p w14:paraId="0575FF25" w14:textId="0EE3FE19" w:rsidR="007D6ACE" w:rsidRDefault="007D6ACE" w:rsidP="007D6ACE">
      <w:pPr>
        <w:numPr>
          <w:ilvl w:val="1"/>
          <w:numId w:val="0"/>
        </w:numPr>
        <w:spacing w:after="0"/>
        <w:jc w:val="center"/>
        <w:rPr>
          <w:rStyle w:val="normaltextrun"/>
          <w:rFonts w:eastAsiaTheme="minorEastAsia"/>
          <w:szCs w:val="20"/>
        </w:rPr>
      </w:pPr>
      <w:r w:rsidRPr="007D6ACE">
        <w:rPr>
          <w:rStyle w:val="normaltextrun"/>
          <w:rFonts w:eastAsiaTheme="minorEastAsia"/>
          <w:noProof/>
          <w:szCs w:val="20"/>
        </w:rPr>
        <w:drawing>
          <wp:inline distT="0" distB="0" distL="0" distR="0" wp14:anchorId="5B97C8F7" wp14:editId="1FC72EC9">
            <wp:extent cx="4631691" cy="3010880"/>
            <wp:effectExtent l="0" t="0" r="0" b="0"/>
            <wp:docPr id="234325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25956" name=""/>
                    <pic:cNvPicPr/>
                  </pic:nvPicPr>
                  <pic:blipFill>
                    <a:blip r:embed="rId15"/>
                    <a:stretch>
                      <a:fillRect/>
                    </a:stretch>
                  </pic:blipFill>
                  <pic:spPr>
                    <a:xfrm>
                      <a:off x="0" y="0"/>
                      <a:ext cx="4679529" cy="3041978"/>
                    </a:xfrm>
                    <a:prstGeom prst="rect">
                      <a:avLst/>
                    </a:prstGeom>
                  </pic:spPr>
                </pic:pic>
              </a:graphicData>
            </a:graphic>
          </wp:inline>
        </w:drawing>
      </w:r>
    </w:p>
    <w:p w14:paraId="72410EE2" w14:textId="77777777" w:rsidR="00170C58" w:rsidRDefault="00170C58" w:rsidP="00170C58">
      <w:pPr>
        <w:numPr>
          <w:ilvl w:val="1"/>
          <w:numId w:val="0"/>
        </w:numPr>
        <w:spacing w:after="0"/>
        <w:rPr>
          <w:rStyle w:val="normaltextrun"/>
          <w:rFonts w:eastAsiaTheme="minorEastAsia"/>
          <w:szCs w:val="20"/>
        </w:rPr>
      </w:pPr>
    </w:p>
    <w:p w14:paraId="792C4C54" w14:textId="05EFC52A" w:rsidR="006238F2" w:rsidRDefault="006238F2" w:rsidP="006238F2">
      <w:pPr>
        <w:pStyle w:val="ACSubhead"/>
        <w:rPr>
          <w:rFonts w:eastAsiaTheme="minorEastAsia"/>
          <w:szCs w:val="20"/>
        </w:rPr>
      </w:pPr>
      <w:r>
        <w:rPr>
          <w:rStyle w:val="normaltextrun"/>
          <w:rFonts w:eastAsiaTheme="minorEastAsia"/>
          <w:szCs w:val="20"/>
        </w:rPr>
        <w:t>About the Executive Order</w:t>
      </w:r>
    </w:p>
    <w:p w14:paraId="4065ECE7" w14:textId="6010A239" w:rsidR="00170C58" w:rsidRPr="00334157" w:rsidRDefault="007D6ACE" w:rsidP="00170C58">
      <w:pPr>
        <w:numPr>
          <w:ilvl w:val="1"/>
          <w:numId w:val="0"/>
        </w:numPr>
        <w:spacing w:after="0"/>
        <w:rPr>
          <w:rFonts w:eastAsiaTheme="minorEastAsia"/>
          <w:szCs w:val="20"/>
        </w:rPr>
      </w:pPr>
      <w:r>
        <w:rPr>
          <w:rFonts w:eastAsiaTheme="minorEastAsia"/>
          <w:szCs w:val="20"/>
        </w:rPr>
        <w:t>The Governor’s Executive Order contains a number of notable actions</w:t>
      </w:r>
      <w:r w:rsidR="00170C58">
        <w:rPr>
          <w:rFonts w:eastAsiaTheme="minorEastAsia"/>
          <w:szCs w:val="20"/>
        </w:rPr>
        <w:t>, including the following highlights:</w:t>
      </w:r>
    </w:p>
    <w:p w14:paraId="213E206D" w14:textId="3DE17083" w:rsidR="00170C58" w:rsidRDefault="007D6ACE" w:rsidP="00ED42F0">
      <w:pPr>
        <w:pStyle w:val="ACListParagraph"/>
        <w:numPr>
          <w:ilvl w:val="0"/>
          <w:numId w:val="0"/>
        </w:numPr>
        <w:spacing w:after="360" w:afterAutospacing="0" w:line="240" w:lineRule="auto"/>
        <w:contextualSpacing/>
        <w:rPr>
          <w:rFonts w:eastAsiaTheme="minorEastAsia"/>
          <w:b/>
          <w:bCs/>
        </w:rPr>
      </w:pPr>
      <w:r>
        <w:rPr>
          <w:rFonts w:eastAsiaTheme="minorEastAsia"/>
          <w:b/>
          <w:bCs/>
        </w:rPr>
        <w:t>Clean energy supply</w:t>
      </w:r>
      <w:r w:rsidR="00170C58" w:rsidRPr="002A2E32">
        <w:rPr>
          <w:rFonts w:eastAsiaTheme="minorEastAsia"/>
          <w:b/>
          <w:bCs/>
        </w:rPr>
        <w:t>:</w:t>
      </w:r>
    </w:p>
    <w:p w14:paraId="05076493" w14:textId="77777777" w:rsidR="00ED42F0" w:rsidRDefault="00ED42F0" w:rsidP="00ED42F0">
      <w:pPr>
        <w:pStyle w:val="ACListParagraph"/>
        <w:numPr>
          <w:ilvl w:val="0"/>
          <w:numId w:val="0"/>
        </w:numPr>
        <w:spacing w:after="360" w:afterAutospacing="0" w:line="240" w:lineRule="auto"/>
        <w:contextualSpacing/>
        <w:rPr>
          <w:rFonts w:eastAsiaTheme="minorEastAsia"/>
        </w:rPr>
      </w:pPr>
    </w:p>
    <w:p w14:paraId="3AB34504" w14:textId="5272F4A3" w:rsidR="002A5A8B" w:rsidRDefault="002A5A8B" w:rsidP="00ED42F0">
      <w:pPr>
        <w:pStyle w:val="ACListParagraph"/>
        <w:spacing w:line="240" w:lineRule="auto"/>
        <w:rPr>
          <w:rFonts w:eastAsiaTheme="minorEastAsia"/>
        </w:rPr>
      </w:pPr>
      <w:r>
        <w:rPr>
          <w:rFonts w:eastAsiaTheme="minorEastAsia"/>
        </w:rPr>
        <w:t>The E.O. directs s</w:t>
      </w:r>
      <w:r w:rsidR="008E1D8F">
        <w:rPr>
          <w:rFonts w:eastAsiaTheme="minorEastAsia"/>
        </w:rPr>
        <w:t>ix and a half (6.5)</w:t>
      </w:r>
      <w:r w:rsidR="00FD7CD1" w:rsidRPr="00FD7CD1">
        <w:rPr>
          <w:rFonts w:eastAsiaTheme="minorEastAsia"/>
        </w:rPr>
        <w:t xml:space="preserve"> gigawatts (GW</w:t>
      </w:r>
      <w:r w:rsidR="00FD7CD1">
        <w:rPr>
          <w:rFonts w:eastAsiaTheme="minorEastAsia"/>
        </w:rPr>
        <w:t>)</w:t>
      </w:r>
      <w:r w:rsidR="00FD7CD1" w:rsidRPr="00FD7CD1">
        <w:rPr>
          <w:rFonts w:eastAsiaTheme="minorEastAsia"/>
        </w:rPr>
        <w:t xml:space="preserve"> of new </w:t>
      </w:r>
      <w:r w:rsidR="008E1D8F">
        <w:rPr>
          <w:rFonts w:eastAsiaTheme="minorEastAsia"/>
        </w:rPr>
        <w:t>clean supply</w:t>
      </w:r>
      <w:r w:rsidR="00FD7CD1" w:rsidRPr="00FD7CD1">
        <w:rPr>
          <w:rFonts w:eastAsiaTheme="minorEastAsia"/>
        </w:rPr>
        <w:t xml:space="preserve"> resources online, under contract, or under development by the end of 2035</w:t>
      </w:r>
      <w:r w:rsidR="008B1C37">
        <w:rPr>
          <w:rFonts w:eastAsiaTheme="minorEastAsia"/>
        </w:rPr>
        <w:t>.</w:t>
      </w:r>
      <w:r>
        <w:rPr>
          <w:rFonts w:eastAsiaTheme="minorEastAsia"/>
        </w:rPr>
        <w:t xml:space="preserve"> </w:t>
      </w:r>
      <w:r w:rsidR="00CE6DA0" w:rsidRPr="002A5A8B">
        <w:rPr>
          <w:rFonts w:eastAsiaTheme="minorEastAsia"/>
        </w:rPr>
        <w:t xml:space="preserve">This will include four new GW of solar and two-and-a-half GW of “new energy supply” into the New England power grid connecting to Massachusetts customers. </w:t>
      </w:r>
    </w:p>
    <w:p w14:paraId="0E39CCBB" w14:textId="5119F057" w:rsidR="006C126F" w:rsidRDefault="00CE6DA0" w:rsidP="00ED42F0">
      <w:pPr>
        <w:pStyle w:val="ACListParagraph"/>
        <w:spacing w:line="240" w:lineRule="auto"/>
        <w:rPr>
          <w:rFonts w:eastAsiaTheme="minorEastAsia"/>
        </w:rPr>
      </w:pPr>
      <w:r>
        <w:rPr>
          <w:rFonts w:eastAsiaTheme="minorEastAsia"/>
        </w:rPr>
        <w:t xml:space="preserve">The E.O. does not specify what will make up </w:t>
      </w:r>
      <w:r w:rsidR="006C126F">
        <w:rPr>
          <w:rFonts w:eastAsiaTheme="minorEastAsia"/>
        </w:rPr>
        <w:t>the</w:t>
      </w:r>
      <w:r>
        <w:rPr>
          <w:rFonts w:eastAsiaTheme="minorEastAsia"/>
        </w:rPr>
        <w:t xml:space="preserve"> 2.5 GW of new energy supply, but it presumably includes </w:t>
      </w:r>
      <w:r w:rsidR="004A7C14">
        <w:rPr>
          <w:rFonts w:eastAsiaTheme="minorEastAsia"/>
        </w:rPr>
        <w:t xml:space="preserve">major contributions from </w:t>
      </w:r>
      <w:r w:rsidR="002A02CB">
        <w:rPr>
          <w:rFonts w:eastAsiaTheme="minorEastAsia"/>
        </w:rPr>
        <w:t xml:space="preserve">northern New England renewable capacity unlocked by the </w:t>
      </w:r>
      <w:hyperlink r:id="rId16" w:history="1">
        <w:r w:rsidR="002A02CB" w:rsidRPr="00EA67D0">
          <w:rPr>
            <w:rStyle w:val="Hyperlink"/>
            <w:rFonts w:eastAsiaTheme="minorEastAsia"/>
          </w:rPr>
          <w:t>Longer-Term Transmission Planning (LTTP)</w:t>
        </w:r>
      </w:hyperlink>
      <w:r w:rsidR="002A02CB">
        <w:rPr>
          <w:rFonts w:eastAsiaTheme="minorEastAsia"/>
        </w:rPr>
        <w:t xml:space="preserve"> investment and forthcoming </w:t>
      </w:r>
      <w:hyperlink r:id="rId17" w:history="1">
        <w:r w:rsidR="002A02CB" w:rsidRPr="00A651A9">
          <w:rPr>
            <w:rStyle w:val="Hyperlink"/>
            <w:rFonts w:eastAsiaTheme="minorEastAsia"/>
          </w:rPr>
          <w:t>Northern Maine RFP,</w:t>
        </w:r>
      </w:hyperlink>
      <w:r w:rsidR="002A02CB">
        <w:rPr>
          <w:rFonts w:eastAsiaTheme="minorEastAsia"/>
        </w:rPr>
        <w:t xml:space="preserve"> </w:t>
      </w:r>
      <w:r w:rsidR="00754217">
        <w:rPr>
          <w:rFonts w:eastAsiaTheme="minorEastAsia"/>
        </w:rPr>
        <w:t xml:space="preserve">other potential interregional transmission investments stemming from </w:t>
      </w:r>
      <w:r w:rsidR="00982FA7">
        <w:rPr>
          <w:rFonts w:eastAsiaTheme="minorEastAsia"/>
        </w:rPr>
        <w:t xml:space="preserve">the </w:t>
      </w:r>
      <w:hyperlink r:id="rId18" w:history="1">
        <w:r w:rsidR="00982FA7" w:rsidRPr="002A5A8B">
          <w:rPr>
            <w:rStyle w:val="Hyperlink"/>
            <w:rFonts w:eastAsiaTheme="minorEastAsia"/>
          </w:rPr>
          <w:t>Northeast States Collaborative</w:t>
        </w:r>
      </w:hyperlink>
      <w:r w:rsidR="00982FA7">
        <w:rPr>
          <w:rFonts w:eastAsiaTheme="minorEastAsia"/>
        </w:rPr>
        <w:t xml:space="preserve"> on Interregional Transmission, </w:t>
      </w:r>
      <w:r w:rsidR="002A02CB">
        <w:rPr>
          <w:rFonts w:eastAsiaTheme="minorEastAsia"/>
        </w:rPr>
        <w:t xml:space="preserve">along with </w:t>
      </w:r>
      <w:r w:rsidR="00050C5D">
        <w:rPr>
          <w:rFonts w:eastAsiaTheme="minorEastAsia"/>
        </w:rPr>
        <w:t xml:space="preserve">potential </w:t>
      </w:r>
      <w:r w:rsidR="00622C05">
        <w:rPr>
          <w:rFonts w:eastAsiaTheme="minorEastAsia"/>
        </w:rPr>
        <w:t xml:space="preserve">Canadian offshore wind supply pursuant to the recently enacted </w:t>
      </w:r>
      <w:hyperlink r:id="rId19" w:history="1">
        <w:r w:rsidR="00622C05" w:rsidRPr="00FC6434">
          <w:rPr>
            <w:rStyle w:val="Hyperlink"/>
            <w:rFonts w:eastAsiaTheme="minorEastAsia"/>
          </w:rPr>
          <w:t>Memorandum of Understanding (MOU)</w:t>
        </w:r>
      </w:hyperlink>
      <w:r w:rsidR="00622C05">
        <w:rPr>
          <w:rFonts w:eastAsiaTheme="minorEastAsia"/>
        </w:rPr>
        <w:t xml:space="preserve"> with Nova Scotia</w:t>
      </w:r>
      <w:r w:rsidR="00BA5D4E">
        <w:rPr>
          <w:rFonts w:eastAsiaTheme="minorEastAsia"/>
        </w:rPr>
        <w:t xml:space="preserve">. It is not clear </w:t>
      </w:r>
      <w:r w:rsidR="0079541B">
        <w:rPr>
          <w:rFonts w:eastAsiaTheme="minorEastAsia"/>
        </w:rPr>
        <w:t>how</w:t>
      </w:r>
      <w:r w:rsidR="0057476C">
        <w:rPr>
          <w:rFonts w:eastAsiaTheme="minorEastAsia"/>
        </w:rPr>
        <w:t>/whether</w:t>
      </w:r>
      <w:r w:rsidR="00BA5D4E">
        <w:rPr>
          <w:rFonts w:eastAsiaTheme="minorEastAsia"/>
        </w:rPr>
        <w:t xml:space="preserve"> other </w:t>
      </w:r>
      <w:r w:rsidR="002A5A8B">
        <w:rPr>
          <w:rFonts w:eastAsiaTheme="minorEastAsia"/>
        </w:rPr>
        <w:t xml:space="preserve">earlier-stage </w:t>
      </w:r>
      <w:r w:rsidR="00BA5D4E">
        <w:rPr>
          <w:rFonts w:eastAsiaTheme="minorEastAsia"/>
        </w:rPr>
        <w:t>resources</w:t>
      </w:r>
      <w:r w:rsidR="00CE723E">
        <w:rPr>
          <w:rFonts w:eastAsiaTheme="minorEastAsia"/>
        </w:rPr>
        <w:t xml:space="preserve"> mentioned in the E.O.</w:t>
      </w:r>
      <w:r w:rsidR="00BA5D4E">
        <w:rPr>
          <w:rFonts w:eastAsiaTheme="minorEastAsia"/>
        </w:rPr>
        <w:t xml:space="preserve">, such as </w:t>
      </w:r>
      <w:r w:rsidR="006E02EA">
        <w:rPr>
          <w:rFonts w:eastAsiaTheme="minorEastAsia"/>
        </w:rPr>
        <w:t>new nuclear energy,</w:t>
      </w:r>
      <w:r w:rsidR="001768F5">
        <w:rPr>
          <w:rFonts w:eastAsiaTheme="minorEastAsia"/>
        </w:rPr>
        <w:t xml:space="preserve"> geothermal resources, or other “non-fossil thermal </w:t>
      </w:r>
      <w:r w:rsidR="00F26D3E">
        <w:rPr>
          <w:rFonts w:eastAsiaTheme="minorEastAsia"/>
        </w:rPr>
        <w:t>energy sources</w:t>
      </w:r>
      <w:r w:rsidR="001768F5">
        <w:rPr>
          <w:rFonts w:eastAsiaTheme="minorEastAsia"/>
        </w:rPr>
        <w:t>”</w:t>
      </w:r>
      <w:r w:rsidR="006E02EA">
        <w:rPr>
          <w:rFonts w:eastAsiaTheme="minorEastAsia"/>
        </w:rPr>
        <w:t xml:space="preserve"> might also </w:t>
      </w:r>
      <w:r w:rsidR="00794E80">
        <w:rPr>
          <w:rFonts w:eastAsiaTheme="minorEastAsia"/>
        </w:rPr>
        <w:t>fit into th</w:t>
      </w:r>
      <w:r w:rsidR="002A5A8B">
        <w:rPr>
          <w:rFonts w:eastAsiaTheme="minorEastAsia"/>
        </w:rPr>
        <w:t>is</w:t>
      </w:r>
      <w:r w:rsidR="00794E80">
        <w:rPr>
          <w:rFonts w:eastAsiaTheme="minorEastAsia"/>
        </w:rPr>
        <w:t xml:space="preserve"> category.</w:t>
      </w:r>
    </w:p>
    <w:p w14:paraId="066C8851" w14:textId="6E1CEBB1" w:rsidR="00ED42F0" w:rsidRDefault="006C126F" w:rsidP="00ED42F0">
      <w:pPr>
        <w:pStyle w:val="ACListParagraph"/>
        <w:spacing w:line="240" w:lineRule="auto"/>
        <w:rPr>
          <w:rFonts w:eastAsiaTheme="minorEastAsia"/>
        </w:rPr>
      </w:pPr>
      <w:r>
        <w:rPr>
          <w:rFonts w:eastAsiaTheme="minorEastAsia"/>
        </w:rPr>
        <w:t>The E.O. also establishes</w:t>
      </w:r>
      <w:r w:rsidRPr="00AB6968">
        <w:rPr>
          <w:rFonts w:eastAsiaTheme="minorEastAsia"/>
        </w:rPr>
        <w:t xml:space="preserve"> an additional goal of five GW of energy storage online or under development within Massachusetts by the end of 2035</w:t>
      </w:r>
      <w:r w:rsidR="00FE506C">
        <w:rPr>
          <w:rFonts w:eastAsiaTheme="minorEastAsia"/>
        </w:rPr>
        <w:t>. This is a new</w:t>
      </w:r>
      <w:r w:rsidR="00E8740A">
        <w:rPr>
          <w:rFonts w:eastAsiaTheme="minorEastAsia"/>
        </w:rPr>
        <w:t>/expanded storage target, on top of</w:t>
      </w:r>
      <w:r>
        <w:rPr>
          <w:rFonts w:eastAsiaTheme="minorEastAsia"/>
        </w:rPr>
        <w:t xml:space="preserve"> the </w:t>
      </w:r>
      <w:r w:rsidR="00E8740A">
        <w:rPr>
          <w:rFonts w:eastAsiaTheme="minorEastAsia"/>
        </w:rPr>
        <w:t xml:space="preserve">5 GW </w:t>
      </w:r>
      <w:r>
        <w:rPr>
          <w:rFonts w:eastAsiaTheme="minorEastAsia"/>
        </w:rPr>
        <w:t xml:space="preserve">Section 83E requirements passed in the Climate Act of 2024. </w:t>
      </w:r>
    </w:p>
    <w:p w14:paraId="4B99900B" w14:textId="1A4E6AED" w:rsidR="007D6ACE" w:rsidRPr="00ED42F0" w:rsidRDefault="007D6ACE" w:rsidP="00ED42F0">
      <w:pPr>
        <w:pStyle w:val="ACListParagraph"/>
        <w:numPr>
          <w:ilvl w:val="0"/>
          <w:numId w:val="0"/>
        </w:numPr>
        <w:spacing w:line="240" w:lineRule="auto"/>
        <w:rPr>
          <w:rFonts w:eastAsiaTheme="minorEastAsia"/>
        </w:rPr>
      </w:pPr>
      <w:r w:rsidRPr="00ED42F0">
        <w:rPr>
          <w:rFonts w:eastAsiaTheme="minorEastAsia"/>
          <w:b/>
          <w:bCs/>
        </w:rPr>
        <w:t>Clean energy demand:</w:t>
      </w:r>
    </w:p>
    <w:p w14:paraId="4B15C320" w14:textId="74E4AD9C" w:rsidR="003C3D96" w:rsidRDefault="00016CB1" w:rsidP="00ED42F0">
      <w:pPr>
        <w:pStyle w:val="ACListParagraph"/>
        <w:spacing w:line="240" w:lineRule="auto"/>
        <w:rPr>
          <w:rFonts w:eastAsiaTheme="minorEastAsia"/>
        </w:rPr>
      </w:pPr>
      <w:r>
        <w:rPr>
          <w:rFonts w:eastAsiaTheme="minorEastAsia"/>
        </w:rPr>
        <w:t>To meet the overall 10 GW goal by 2035, the E.O. contemplates deploying three</w:t>
      </w:r>
      <w:r w:rsidR="00E8740A">
        <w:rPr>
          <w:rFonts w:eastAsiaTheme="minorEastAsia"/>
        </w:rPr>
        <w:t>-</w:t>
      </w:r>
      <w:r w:rsidRPr="00016CB1">
        <w:rPr>
          <w:rFonts w:eastAsiaTheme="minorEastAsia"/>
        </w:rPr>
        <w:t xml:space="preserve">and-a-half </w:t>
      </w:r>
      <w:r>
        <w:rPr>
          <w:rFonts w:eastAsiaTheme="minorEastAsia"/>
        </w:rPr>
        <w:t xml:space="preserve">(3.5) </w:t>
      </w:r>
      <w:r w:rsidRPr="00016CB1">
        <w:rPr>
          <w:rFonts w:eastAsiaTheme="minorEastAsia"/>
        </w:rPr>
        <w:t>new GW from demand management</w:t>
      </w:r>
      <w:r>
        <w:rPr>
          <w:rFonts w:eastAsiaTheme="minorEastAsia"/>
        </w:rPr>
        <w:t xml:space="preserve"> resources</w:t>
      </w:r>
      <w:r w:rsidRPr="00016CB1">
        <w:rPr>
          <w:rFonts w:eastAsiaTheme="minorEastAsia"/>
        </w:rPr>
        <w:t>, such as virtual power plants</w:t>
      </w:r>
      <w:r w:rsidR="00D04F49">
        <w:rPr>
          <w:rFonts w:eastAsiaTheme="minorEastAsia"/>
        </w:rPr>
        <w:t xml:space="preserve">, </w:t>
      </w:r>
      <w:r w:rsidR="00D04F49" w:rsidRPr="00D04F49">
        <w:rPr>
          <w:rFonts w:eastAsiaTheme="minorEastAsia"/>
        </w:rPr>
        <w:t>electric vehicle charging management, energy efficiency and demand response programs</w:t>
      </w:r>
      <w:r w:rsidRPr="00016CB1">
        <w:rPr>
          <w:rFonts w:eastAsiaTheme="minorEastAsia"/>
        </w:rPr>
        <w:t>.</w:t>
      </w:r>
      <w:r w:rsidR="000E2655">
        <w:rPr>
          <w:rFonts w:eastAsiaTheme="minorEastAsia"/>
        </w:rPr>
        <w:t xml:space="preserve"> </w:t>
      </w:r>
      <w:r w:rsidR="00DA29BC">
        <w:rPr>
          <w:rFonts w:eastAsiaTheme="minorEastAsia"/>
        </w:rPr>
        <w:t xml:space="preserve">This </w:t>
      </w:r>
      <w:r w:rsidR="003C5C2F">
        <w:rPr>
          <w:rFonts w:eastAsiaTheme="minorEastAsia"/>
        </w:rPr>
        <w:t>would constitute a major new demand-side portfolio</w:t>
      </w:r>
      <w:r w:rsidR="008A0F30">
        <w:rPr>
          <w:rFonts w:eastAsiaTheme="minorEastAsia"/>
        </w:rPr>
        <w:t>, representing the ability to flex or shift more than 1</w:t>
      </w:r>
      <w:r w:rsidR="00536FEE">
        <w:rPr>
          <w:rFonts w:eastAsiaTheme="minorEastAsia"/>
        </w:rPr>
        <w:t>3</w:t>
      </w:r>
      <w:r w:rsidR="008A0F30">
        <w:rPr>
          <w:rFonts w:eastAsiaTheme="minorEastAsia"/>
        </w:rPr>
        <w:t xml:space="preserve">% of the region’s summer and winter peaks </w:t>
      </w:r>
      <w:hyperlink r:id="rId20" w:history="1">
        <w:r w:rsidR="008A0F30" w:rsidRPr="00D06452">
          <w:rPr>
            <w:rStyle w:val="Hyperlink"/>
            <w:rFonts w:eastAsiaTheme="minorEastAsia"/>
          </w:rPr>
          <w:t>forecast</w:t>
        </w:r>
      </w:hyperlink>
      <w:r w:rsidR="008A0F30">
        <w:rPr>
          <w:rFonts w:eastAsiaTheme="minorEastAsia"/>
        </w:rPr>
        <w:t xml:space="preserve"> </w:t>
      </w:r>
      <w:r w:rsidR="004A3176">
        <w:rPr>
          <w:rFonts w:eastAsiaTheme="minorEastAsia"/>
        </w:rPr>
        <w:t>for the mid-2030s</w:t>
      </w:r>
      <w:r w:rsidR="00EE75F7">
        <w:rPr>
          <w:rFonts w:eastAsiaTheme="minorEastAsia"/>
        </w:rPr>
        <w:t xml:space="preserve"> (e.g.,</w:t>
      </w:r>
      <w:r w:rsidR="00306264">
        <w:rPr>
          <w:rFonts w:eastAsiaTheme="minorEastAsia"/>
        </w:rPr>
        <w:t xml:space="preserve"> net</w:t>
      </w:r>
      <w:r w:rsidR="00EE75F7">
        <w:rPr>
          <w:rFonts w:eastAsiaTheme="minorEastAsia"/>
        </w:rPr>
        <w:t xml:space="preserve"> summer peak of 26,897 MW in 2034)</w:t>
      </w:r>
      <w:r w:rsidR="003C3D96">
        <w:rPr>
          <w:rFonts w:eastAsiaTheme="minorEastAsia"/>
        </w:rPr>
        <w:t xml:space="preserve"> – on top of existing demand management portfolios from Mass Save and Connected Solutions.</w:t>
      </w:r>
      <w:r w:rsidR="00521A3D">
        <w:rPr>
          <w:rFonts w:eastAsiaTheme="minorEastAsia"/>
        </w:rPr>
        <w:t xml:space="preserve"> </w:t>
      </w:r>
    </w:p>
    <w:p w14:paraId="45D7CBBF" w14:textId="6C2E6641" w:rsidR="007D6ACE" w:rsidRDefault="00521A3D" w:rsidP="00ED42F0">
      <w:pPr>
        <w:pStyle w:val="ACListParagraph"/>
        <w:spacing w:line="240" w:lineRule="auto"/>
        <w:rPr>
          <w:rFonts w:eastAsiaTheme="minorEastAsia"/>
        </w:rPr>
      </w:pPr>
      <w:r>
        <w:rPr>
          <w:rFonts w:eastAsiaTheme="minorEastAsia"/>
        </w:rPr>
        <w:t>This amount of</w:t>
      </w:r>
      <w:r w:rsidR="002A12F0">
        <w:rPr>
          <w:rFonts w:eastAsiaTheme="minorEastAsia"/>
        </w:rPr>
        <w:t xml:space="preserve"> flexible demand would also be substantially larger than estimates for </w:t>
      </w:r>
      <w:r w:rsidR="00C91212">
        <w:rPr>
          <w:rFonts w:eastAsiaTheme="minorEastAsia"/>
        </w:rPr>
        <w:t xml:space="preserve">growth in winter peak demand driven by heating electrification </w:t>
      </w:r>
      <w:r w:rsidR="00ED76FF">
        <w:rPr>
          <w:rFonts w:eastAsiaTheme="minorEastAsia"/>
        </w:rPr>
        <w:t xml:space="preserve">in Massachusetts (2,167 MW in 2034), demonstrating that electrification of space heating can be </w:t>
      </w:r>
      <w:r w:rsidR="003C3D96">
        <w:rPr>
          <w:rFonts w:eastAsiaTheme="minorEastAsia"/>
        </w:rPr>
        <w:t>effectively managed when paired with smart demand management.</w:t>
      </w:r>
    </w:p>
    <w:p w14:paraId="6055C316" w14:textId="77777777" w:rsidR="00ED42F0" w:rsidRDefault="003C3D96" w:rsidP="00ED42F0">
      <w:pPr>
        <w:pStyle w:val="ACListParagraph"/>
        <w:spacing w:line="240" w:lineRule="auto"/>
        <w:rPr>
          <w:rFonts w:eastAsiaTheme="minorEastAsia"/>
        </w:rPr>
      </w:pPr>
      <w:r>
        <w:rPr>
          <w:rFonts w:eastAsiaTheme="minorEastAsia"/>
        </w:rPr>
        <w:t xml:space="preserve">This investment in flexible demand and virtual power plant capabilities will help directly target </w:t>
      </w:r>
      <w:r w:rsidR="00EA2524">
        <w:rPr>
          <w:rFonts w:eastAsiaTheme="minorEastAsia"/>
        </w:rPr>
        <w:t xml:space="preserve">the costliest peak periods </w:t>
      </w:r>
      <w:r w:rsidR="00322061">
        <w:rPr>
          <w:rFonts w:eastAsiaTheme="minorEastAsia"/>
        </w:rPr>
        <w:t xml:space="preserve">for the grid and broader energy systems each year. Recent analysis conducted for New York State </w:t>
      </w:r>
      <w:hyperlink r:id="rId21" w:history="1">
        <w:r w:rsidR="00322061" w:rsidRPr="00FF668C">
          <w:rPr>
            <w:rStyle w:val="Hyperlink"/>
            <w:rFonts w:eastAsiaTheme="minorEastAsia"/>
          </w:rPr>
          <w:t>identified</w:t>
        </w:r>
      </w:hyperlink>
      <w:r w:rsidR="00322061">
        <w:rPr>
          <w:rFonts w:eastAsiaTheme="minorEastAsia"/>
        </w:rPr>
        <w:t xml:space="preserve"> that </w:t>
      </w:r>
      <w:r w:rsidR="00807A49">
        <w:rPr>
          <w:rFonts w:eastAsiaTheme="minorEastAsia"/>
        </w:rPr>
        <w:t xml:space="preserve">grid flexibility could </w:t>
      </w:r>
      <w:r w:rsidR="00FD590E">
        <w:rPr>
          <w:rFonts w:eastAsiaTheme="minorEastAsia"/>
        </w:rPr>
        <w:t>reduce future peaks by more than 20%</w:t>
      </w:r>
      <w:r w:rsidR="00FF668C">
        <w:rPr>
          <w:rFonts w:eastAsiaTheme="minorEastAsia"/>
        </w:rPr>
        <w:t xml:space="preserve"> by 2040</w:t>
      </w:r>
      <w:r w:rsidR="00FD590E">
        <w:rPr>
          <w:rFonts w:eastAsiaTheme="minorEastAsia"/>
        </w:rPr>
        <w:t xml:space="preserve"> </w:t>
      </w:r>
      <w:r w:rsidR="00FF668C">
        <w:rPr>
          <w:rFonts w:eastAsiaTheme="minorEastAsia"/>
        </w:rPr>
        <w:t>–</w:t>
      </w:r>
      <w:r w:rsidR="00FD590E">
        <w:rPr>
          <w:rFonts w:eastAsiaTheme="minorEastAsia"/>
        </w:rPr>
        <w:t xml:space="preserve"> </w:t>
      </w:r>
      <w:r w:rsidR="00FF668C">
        <w:rPr>
          <w:rFonts w:eastAsiaTheme="minorEastAsia"/>
        </w:rPr>
        <w:t>critical when many fixed infrastructure costs are driven by these peaks (</w:t>
      </w:r>
      <w:r w:rsidR="00D339A7">
        <w:rPr>
          <w:rFonts w:eastAsiaTheme="minorEastAsia"/>
        </w:rPr>
        <w:t xml:space="preserve">e.g., each GW of peak demand is </w:t>
      </w:r>
      <w:hyperlink r:id="rId22" w:history="1">
        <w:r w:rsidR="00D339A7" w:rsidRPr="005248EC">
          <w:rPr>
            <w:rStyle w:val="Hyperlink"/>
            <w:rFonts w:eastAsiaTheme="minorEastAsia"/>
          </w:rPr>
          <w:t>expected</w:t>
        </w:r>
      </w:hyperlink>
      <w:r w:rsidR="00D339A7">
        <w:rPr>
          <w:rFonts w:eastAsiaTheme="minorEastAsia"/>
        </w:rPr>
        <w:t xml:space="preserve"> to drive $750m to $1.5b in transmission costs in New England).</w:t>
      </w:r>
    </w:p>
    <w:p w14:paraId="20A8B268" w14:textId="2FC9A606" w:rsidR="00170C58" w:rsidRPr="00ED42F0" w:rsidRDefault="003A66DB" w:rsidP="00ED42F0">
      <w:pPr>
        <w:pStyle w:val="ACListParagraph"/>
        <w:numPr>
          <w:ilvl w:val="0"/>
          <w:numId w:val="0"/>
        </w:numPr>
        <w:spacing w:line="240" w:lineRule="auto"/>
        <w:rPr>
          <w:rFonts w:eastAsiaTheme="minorEastAsia"/>
        </w:rPr>
      </w:pPr>
      <w:r w:rsidRPr="00ED42F0">
        <w:rPr>
          <w:b/>
        </w:rPr>
        <w:t>Gas System Transition</w:t>
      </w:r>
      <w:r w:rsidR="00170C58" w:rsidRPr="00ED42F0">
        <w:rPr>
          <w:b/>
        </w:rPr>
        <w:t>:</w:t>
      </w:r>
      <w:r w:rsidR="00170C58" w:rsidRPr="00ED42F0">
        <w:rPr>
          <w:rFonts w:eastAsiaTheme="minorEastAsia"/>
        </w:rPr>
        <w:t xml:space="preserve"> </w:t>
      </w:r>
    </w:p>
    <w:p w14:paraId="6F3B11C1" w14:textId="77777777" w:rsidR="00AE2217" w:rsidRDefault="00242306" w:rsidP="00ED42F0">
      <w:pPr>
        <w:pStyle w:val="ACListParagraph"/>
        <w:spacing w:line="240" w:lineRule="auto"/>
        <w:rPr>
          <w:rFonts w:eastAsiaTheme="minorEastAsia"/>
        </w:rPr>
      </w:pPr>
      <w:r>
        <w:rPr>
          <w:rFonts w:eastAsiaTheme="minorEastAsia"/>
        </w:rPr>
        <w:t xml:space="preserve">The E.O. also directs Energy and Environmental Affairs (EEA) agencies to </w:t>
      </w:r>
      <w:r w:rsidR="0081667A">
        <w:rPr>
          <w:rFonts w:eastAsiaTheme="minorEastAsia"/>
        </w:rPr>
        <w:t>“r</w:t>
      </w:r>
      <w:r w:rsidR="0081667A" w:rsidRPr="0081667A">
        <w:rPr>
          <w:rFonts w:eastAsiaTheme="minorEastAsia"/>
        </w:rPr>
        <w:t>eview existing natural gas and oil storage capacity and utilization and coordinate with gas utilities, fossil fuel generation facilities, and other New England states to develop greater clarity on how the Everett Marine Terminal and other fuel storage assets may contribute to meeting regional energy supply needs and maintaining system reliability</w:t>
      </w:r>
      <w:r w:rsidR="00AE2217">
        <w:rPr>
          <w:rFonts w:eastAsiaTheme="minorEastAsia"/>
        </w:rPr>
        <w:t>,</w:t>
      </w:r>
      <w:r w:rsidR="0046150A">
        <w:rPr>
          <w:rFonts w:eastAsiaTheme="minorEastAsia"/>
        </w:rPr>
        <w:t>”</w:t>
      </w:r>
      <w:r w:rsidR="00AE2217">
        <w:rPr>
          <w:rFonts w:eastAsiaTheme="minorEastAsia"/>
        </w:rPr>
        <w:t xml:space="preserve"> aligned with goals of meeting winter energy needs reliably and affordably. </w:t>
      </w:r>
    </w:p>
    <w:p w14:paraId="0EBB92A9" w14:textId="77777777" w:rsidR="00ED42F0" w:rsidRDefault="00AE2217" w:rsidP="00ED42F0">
      <w:pPr>
        <w:pStyle w:val="ACListParagraph"/>
        <w:spacing w:line="240" w:lineRule="auto"/>
        <w:rPr>
          <w:rFonts w:eastAsiaTheme="minorEastAsia"/>
        </w:rPr>
      </w:pPr>
      <w:r>
        <w:rPr>
          <w:rFonts w:eastAsiaTheme="minorEastAsia"/>
        </w:rPr>
        <w:t>The E.O. also directs agencies to identify “</w:t>
      </w:r>
      <w:r w:rsidR="00773AC9" w:rsidRPr="00773AC9">
        <w:rPr>
          <w:rFonts w:eastAsiaTheme="minorEastAsia"/>
        </w:rPr>
        <w:t>identify whether additional, strategically located storage capacity or delivery capabilities could provide reliability and affordability benefits to all ratepayers and align with existing regulations</w:t>
      </w:r>
      <w:r w:rsidR="00773AC9">
        <w:rPr>
          <w:rFonts w:eastAsiaTheme="minorEastAsia"/>
        </w:rPr>
        <w:t>.</w:t>
      </w:r>
      <w:r w:rsidR="00841C9A">
        <w:rPr>
          <w:rFonts w:eastAsiaTheme="minorEastAsia"/>
        </w:rPr>
        <w:t>”</w:t>
      </w:r>
      <w:r w:rsidR="00EC1AF5">
        <w:rPr>
          <w:rFonts w:eastAsiaTheme="minorEastAsia"/>
        </w:rPr>
        <w:t xml:space="preserve"> Agencies are to propose recommendations </w:t>
      </w:r>
      <w:r w:rsidR="00BF3F43" w:rsidRPr="00BF3F43">
        <w:rPr>
          <w:rFonts w:eastAsiaTheme="minorEastAsia"/>
        </w:rPr>
        <w:t xml:space="preserve">to </w:t>
      </w:r>
      <w:r w:rsidR="005A57F1">
        <w:rPr>
          <w:rFonts w:eastAsiaTheme="minorEastAsia"/>
        </w:rPr>
        <w:t>“</w:t>
      </w:r>
      <w:r w:rsidR="00BF3F43" w:rsidRPr="00BF3F43">
        <w:rPr>
          <w:rFonts w:eastAsiaTheme="minorEastAsia"/>
        </w:rPr>
        <w:t>ensure adequate natural gas and oil storage capacity and delivery capabilities that promote reliability and affordability, avoid unnecessary spending and adding charges to customer bills, and are aligned with existing regulations</w:t>
      </w:r>
      <w:r w:rsidR="00BF3F43">
        <w:rPr>
          <w:rFonts w:eastAsiaTheme="minorEastAsia"/>
        </w:rPr>
        <w:t>.”</w:t>
      </w:r>
      <w:r w:rsidR="00BF3F43" w:rsidRPr="00BF3F43">
        <w:rPr>
          <w:rFonts w:eastAsiaTheme="minorEastAsia"/>
        </w:rPr>
        <w:t xml:space="preserve"> </w:t>
      </w:r>
    </w:p>
    <w:p w14:paraId="0F7D0F71" w14:textId="22BA4A3A" w:rsidR="00114CA8" w:rsidRPr="00ED42F0" w:rsidRDefault="00E4671D" w:rsidP="00ED42F0">
      <w:pPr>
        <w:pStyle w:val="ACListParagraph"/>
        <w:spacing w:line="240" w:lineRule="auto"/>
        <w:rPr>
          <w:rFonts w:eastAsiaTheme="minorEastAsia"/>
        </w:rPr>
      </w:pPr>
      <w:r>
        <w:rPr>
          <w:rFonts w:eastAsiaTheme="minorEastAsia"/>
        </w:rPr>
        <w:t xml:space="preserve">Acadia Center is pleased to see that </w:t>
      </w:r>
      <w:r w:rsidR="00243394">
        <w:rPr>
          <w:rFonts w:eastAsiaTheme="minorEastAsia"/>
        </w:rPr>
        <w:t xml:space="preserve">solutions like new interstate gas pipeline capacity </w:t>
      </w:r>
      <w:r w:rsidR="005E0A20">
        <w:rPr>
          <w:rFonts w:eastAsiaTheme="minorEastAsia"/>
        </w:rPr>
        <w:t xml:space="preserve">are off the table </w:t>
      </w:r>
      <w:r w:rsidR="0002536E">
        <w:rPr>
          <w:rFonts w:eastAsiaTheme="minorEastAsia"/>
        </w:rPr>
        <w:t>given the focus on avoiding unnecessary spending and adding charges to customer bills</w:t>
      </w:r>
      <w:r w:rsidR="00292A65">
        <w:rPr>
          <w:rFonts w:eastAsiaTheme="minorEastAsia"/>
        </w:rPr>
        <w:t xml:space="preserve"> and the </w:t>
      </w:r>
      <w:r w:rsidR="008C26D2">
        <w:rPr>
          <w:rFonts w:eastAsiaTheme="minorEastAsia"/>
        </w:rPr>
        <w:t>stated alignment with existing regulations, such as those in force pursuant to the Commonwealth’s legally binding emissions reductions requirements.</w:t>
      </w:r>
    </w:p>
    <w:p w14:paraId="062E128A" w14:textId="3089F487" w:rsidR="00114CA8" w:rsidRPr="00114CA8" w:rsidRDefault="00114CA8" w:rsidP="00ED42F0">
      <w:pPr>
        <w:pStyle w:val="ACListParagraph"/>
        <w:numPr>
          <w:ilvl w:val="0"/>
          <w:numId w:val="0"/>
        </w:numPr>
        <w:rPr>
          <w:rFonts w:eastAsiaTheme="minorEastAsia"/>
          <w:b/>
          <w:bCs/>
        </w:rPr>
      </w:pPr>
      <w:r w:rsidRPr="00114CA8">
        <w:rPr>
          <w:rFonts w:eastAsiaTheme="minorEastAsia"/>
          <w:b/>
          <w:bCs/>
        </w:rPr>
        <w:t>Grid Planning and Investment</w:t>
      </w:r>
      <w:r>
        <w:rPr>
          <w:rFonts w:eastAsiaTheme="minorEastAsia"/>
          <w:b/>
          <w:bCs/>
        </w:rPr>
        <w:t>:</w:t>
      </w:r>
    </w:p>
    <w:p w14:paraId="04543994" w14:textId="77777777" w:rsidR="00ED42F0" w:rsidRDefault="007169B9" w:rsidP="00ED42F0">
      <w:pPr>
        <w:pStyle w:val="ACListParagraph"/>
        <w:spacing w:line="240" w:lineRule="auto"/>
        <w:rPr>
          <w:rFonts w:eastAsiaTheme="minorEastAsia"/>
        </w:rPr>
      </w:pPr>
      <w:r>
        <w:rPr>
          <w:rFonts w:eastAsiaTheme="minorEastAsia"/>
        </w:rPr>
        <w:t xml:space="preserve">Section 3 of the E.O. directs a wide range of positive grid-planning and distributed energy resource advancements, including: </w:t>
      </w:r>
    </w:p>
    <w:p w14:paraId="2B48C4EC" w14:textId="77777777" w:rsidR="00ED42F0" w:rsidRDefault="00ED42F0" w:rsidP="00ED42F0">
      <w:pPr>
        <w:pStyle w:val="ACListParagraph"/>
        <w:numPr>
          <w:ilvl w:val="1"/>
          <w:numId w:val="3"/>
        </w:numPr>
        <w:spacing w:line="240" w:lineRule="auto"/>
        <w:rPr>
          <w:rFonts w:eastAsiaTheme="minorEastAsia"/>
        </w:rPr>
      </w:pPr>
      <w:r>
        <w:rPr>
          <w:rFonts w:eastAsiaTheme="minorEastAsia"/>
        </w:rPr>
        <w:t>M</w:t>
      </w:r>
      <w:r w:rsidR="00627B74">
        <w:rPr>
          <w:rFonts w:eastAsiaTheme="minorEastAsia"/>
        </w:rPr>
        <w:t>anaging increased DG interconnection requests</w:t>
      </w:r>
      <w:r w:rsidR="00522412">
        <w:rPr>
          <w:rFonts w:eastAsiaTheme="minorEastAsia"/>
        </w:rPr>
        <w:t xml:space="preserve"> to maximize IRA tax credit eligibility; </w:t>
      </w:r>
    </w:p>
    <w:p w14:paraId="1198DB41" w14:textId="77777777" w:rsidR="00ED42F0" w:rsidRDefault="00ED42F0" w:rsidP="00ED42F0">
      <w:pPr>
        <w:pStyle w:val="ACListParagraph"/>
        <w:numPr>
          <w:ilvl w:val="1"/>
          <w:numId w:val="3"/>
        </w:numPr>
        <w:spacing w:line="240" w:lineRule="auto"/>
        <w:rPr>
          <w:rFonts w:eastAsiaTheme="minorEastAsia"/>
        </w:rPr>
      </w:pPr>
      <w:r>
        <w:rPr>
          <w:rFonts w:eastAsiaTheme="minorEastAsia"/>
        </w:rPr>
        <w:t>D</w:t>
      </w:r>
      <w:r w:rsidR="00895BF0">
        <w:rPr>
          <w:rFonts w:eastAsiaTheme="minorEastAsia"/>
        </w:rPr>
        <w:t xml:space="preserve">eveloping flexible interconnection programs; </w:t>
      </w:r>
      <w:r w:rsidR="00120195">
        <w:rPr>
          <w:rFonts w:eastAsiaTheme="minorEastAsia"/>
        </w:rPr>
        <w:t xml:space="preserve">investigating the impact of and energy affordability solutions for large commercial customers such as data centers; </w:t>
      </w:r>
    </w:p>
    <w:p w14:paraId="4B6D698B" w14:textId="77777777" w:rsidR="00ED42F0" w:rsidRDefault="00ED42F0" w:rsidP="00ED42F0">
      <w:pPr>
        <w:pStyle w:val="ACListParagraph"/>
        <w:numPr>
          <w:ilvl w:val="1"/>
          <w:numId w:val="3"/>
        </w:numPr>
        <w:spacing w:line="240" w:lineRule="auto"/>
        <w:rPr>
          <w:rFonts w:eastAsiaTheme="minorEastAsia"/>
        </w:rPr>
      </w:pPr>
      <w:r>
        <w:rPr>
          <w:rFonts w:eastAsiaTheme="minorEastAsia"/>
        </w:rPr>
        <w:t>E</w:t>
      </w:r>
      <w:r w:rsidR="00656B21">
        <w:rPr>
          <w:rFonts w:eastAsiaTheme="minorEastAsia"/>
        </w:rPr>
        <w:t xml:space="preserve">xpediting review of proposals for time-of-use (TOU) rates, </w:t>
      </w:r>
      <w:r w:rsidR="00967B43">
        <w:rPr>
          <w:rFonts w:eastAsiaTheme="minorEastAsia"/>
        </w:rPr>
        <w:t xml:space="preserve">DER, energy efficiency, </w:t>
      </w:r>
      <w:r w:rsidR="00BA3533">
        <w:rPr>
          <w:rFonts w:eastAsiaTheme="minorEastAsia"/>
        </w:rPr>
        <w:t xml:space="preserve">and virtual power plants; </w:t>
      </w:r>
    </w:p>
    <w:p w14:paraId="022D828D" w14:textId="77777777" w:rsidR="00ED42F0" w:rsidRDefault="00ED42F0" w:rsidP="00ED42F0">
      <w:pPr>
        <w:pStyle w:val="ACListParagraph"/>
        <w:numPr>
          <w:ilvl w:val="1"/>
          <w:numId w:val="3"/>
        </w:numPr>
        <w:spacing w:line="240" w:lineRule="auto"/>
        <w:rPr>
          <w:rFonts w:eastAsiaTheme="minorEastAsia"/>
        </w:rPr>
      </w:pPr>
      <w:r>
        <w:rPr>
          <w:rFonts w:eastAsiaTheme="minorEastAsia"/>
        </w:rPr>
        <w:t>P</w:t>
      </w:r>
      <w:r w:rsidR="00BC31F4">
        <w:rPr>
          <w:rFonts w:eastAsiaTheme="minorEastAsia"/>
        </w:rPr>
        <w:t>roliferating models for community energy resilience hubs</w:t>
      </w:r>
      <w:r w:rsidR="00993A07">
        <w:rPr>
          <w:rFonts w:eastAsiaTheme="minorEastAsia"/>
        </w:rPr>
        <w:t xml:space="preserve"> such as community microgrids</w:t>
      </w:r>
      <w:r w:rsidR="00BC31F4">
        <w:rPr>
          <w:rFonts w:eastAsiaTheme="minorEastAsia"/>
        </w:rPr>
        <w:t xml:space="preserve">; </w:t>
      </w:r>
      <w:r w:rsidR="00B42C1C">
        <w:rPr>
          <w:rFonts w:eastAsiaTheme="minorEastAsia"/>
        </w:rPr>
        <w:t xml:space="preserve">establishing clean energy ready zones; </w:t>
      </w:r>
      <w:r w:rsidR="006C352E">
        <w:rPr>
          <w:rFonts w:eastAsiaTheme="minorEastAsia"/>
        </w:rPr>
        <w:t xml:space="preserve">and </w:t>
      </w:r>
    </w:p>
    <w:p w14:paraId="7B87BB9B" w14:textId="1ABD45D3" w:rsidR="00C6736B" w:rsidRDefault="00ED42F0" w:rsidP="00ED42F0">
      <w:pPr>
        <w:pStyle w:val="ACListParagraph"/>
        <w:numPr>
          <w:ilvl w:val="1"/>
          <w:numId w:val="3"/>
        </w:numPr>
        <w:spacing w:line="240" w:lineRule="auto"/>
        <w:rPr>
          <w:rFonts w:eastAsiaTheme="minorEastAsia"/>
        </w:rPr>
      </w:pPr>
      <w:r>
        <w:rPr>
          <w:rFonts w:eastAsiaTheme="minorEastAsia"/>
        </w:rPr>
        <w:t>E</w:t>
      </w:r>
      <w:r w:rsidR="006C352E">
        <w:rPr>
          <w:rFonts w:eastAsiaTheme="minorEastAsia"/>
        </w:rPr>
        <w:t xml:space="preserve">xamining pathways </w:t>
      </w:r>
      <w:r w:rsidR="001B055E" w:rsidRPr="001B055E">
        <w:rPr>
          <w:rFonts w:eastAsiaTheme="minorEastAsia"/>
        </w:rPr>
        <w:t>to lower the cost to ratepayers of transmission infrastructure necessary to meet energy needs in alignment with other states throughout the New England region</w:t>
      </w:r>
      <w:r w:rsidR="00720DB0">
        <w:rPr>
          <w:rFonts w:eastAsiaTheme="minorEastAsia"/>
        </w:rPr>
        <w:t xml:space="preserve"> (more to come on this subject from Acadia Center and partners soon!)</w:t>
      </w:r>
      <w:r w:rsidR="001B055E">
        <w:rPr>
          <w:rFonts w:eastAsiaTheme="minorEastAsia"/>
        </w:rPr>
        <w:t xml:space="preserve">; </w:t>
      </w:r>
      <w:r w:rsidR="00BA3533">
        <w:rPr>
          <w:rFonts w:eastAsiaTheme="minorEastAsia"/>
        </w:rPr>
        <w:t>among other actions.</w:t>
      </w:r>
    </w:p>
    <w:p w14:paraId="6E2DDFD8" w14:textId="5F4B29CE" w:rsidR="008E0302" w:rsidRPr="008E0302" w:rsidRDefault="008E0302" w:rsidP="008E0302">
      <w:pPr>
        <w:pStyle w:val="ACSubhead"/>
        <w:rPr>
          <w:rFonts w:eastAsiaTheme="minorEastAsia"/>
          <w:szCs w:val="20"/>
        </w:rPr>
      </w:pPr>
      <w:r>
        <w:rPr>
          <w:rStyle w:val="normaltextrun"/>
          <w:rFonts w:eastAsiaTheme="minorEastAsia"/>
          <w:szCs w:val="20"/>
        </w:rPr>
        <w:t xml:space="preserve">Broad Support for Driving Affordability with Clean Energy </w:t>
      </w:r>
    </w:p>
    <w:p w14:paraId="650C9C35" w14:textId="6A1549A2" w:rsidR="008E0302" w:rsidRDefault="00A76D14" w:rsidP="008E0302">
      <w:pPr>
        <w:pStyle w:val="ACBodyText"/>
      </w:pPr>
      <w:r>
        <w:t xml:space="preserve">Recent </w:t>
      </w:r>
      <w:hyperlink r:id="rId23" w:history="1">
        <w:r w:rsidRPr="00F640F3">
          <w:rPr>
            <w:rStyle w:val="Hyperlink"/>
          </w:rPr>
          <w:t>polling work</w:t>
        </w:r>
      </w:hyperlink>
      <w:r>
        <w:t xml:space="preserve"> demonstrates </w:t>
      </w:r>
      <w:r w:rsidR="00323917">
        <w:t>strong and enduring</w:t>
      </w:r>
      <w:r w:rsidR="00FA2C2A">
        <w:t xml:space="preserve"> public support for </w:t>
      </w:r>
      <w:r w:rsidR="00225AFC">
        <w:t>renewable energy</w:t>
      </w:r>
      <w:r w:rsidR="00F320AA">
        <w:t xml:space="preserve"> and energy efficiency among New England voters</w:t>
      </w:r>
      <w:r w:rsidR="007D35B0">
        <w:t xml:space="preserve">, including </w:t>
      </w:r>
      <w:r w:rsidR="005369D8">
        <w:t xml:space="preserve">accurate </w:t>
      </w:r>
      <w:r w:rsidR="002C48E6">
        <w:t xml:space="preserve">beliefs about many of the top underlying drivers </w:t>
      </w:r>
      <w:r w:rsidR="00576D13">
        <w:t>of energy cost increases, including utility profits, natural gas infrastructure maintenance, and extreme weather.</w:t>
      </w:r>
      <w:r w:rsidR="00FA2C2A">
        <w:t xml:space="preserve"> </w:t>
      </w:r>
      <w:r w:rsidR="00F640F3">
        <w:t xml:space="preserve">More information about Acadia Center’s analysis on energy cost drivers can be accessed </w:t>
      </w:r>
      <w:hyperlink r:id="rId24" w:history="1">
        <w:r w:rsidR="00F640F3" w:rsidRPr="00323917">
          <w:rPr>
            <w:rStyle w:val="Hyperlink"/>
          </w:rPr>
          <w:t>here</w:t>
        </w:r>
      </w:hyperlink>
      <w:r w:rsidR="00F640F3">
        <w:t>.</w:t>
      </w:r>
    </w:p>
    <w:p w14:paraId="733A8CF7" w14:textId="0AA22241" w:rsidR="00CB4853" w:rsidRPr="00CA37FC" w:rsidRDefault="00170C58" w:rsidP="001733B5">
      <w:pPr>
        <w:spacing w:after="0"/>
      </w:pPr>
      <w:r w:rsidRPr="00F9614F">
        <w:t xml:space="preserve">Acadia Center looks ahead with excitement to the opportunity to </w:t>
      </w:r>
      <w:r w:rsidR="006238F2">
        <w:t xml:space="preserve">help the Commonwealth </w:t>
      </w:r>
      <w:r w:rsidRPr="00F9614F">
        <w:t xml:space="preserve">implement </w:t>
      </w:r>
      <w:r w:rsidR="006238F2">
        <w:t xml:space="preserve">and make good on </w:t>
      </w:r>
      <w:r w:rsidRPr="00F9614F">
        <w:t xml:space="preserve">the </w:t>
      </w:r>
      <w:r w:rsidR="00F9614F">
        <w:t>provisions</w:t>
      </w:r>
      <w:r w:rsidRPr="00F9614F">
        <w:t xml:space="preserve"> of </w:t>
      </w:r>
      <w:r w:rsidR="00F9614F">
        <w:t xml:space="preserve">this </w:t>
      </w:r>
      <w:r w:rsidR="006238F2">
        <w:t>important executive action</w:t>
      </w:r>
      <w:r w:rsidRPr="00F9614F">
        <w:t xml:space="preserve"> in </w:t>
      </w:r>
      <w:r w:rsidR="00F9614F">
        <w:t>keeping</w:t>
      </w:r>
      <w:r w:rsidRPr="00F9614F">
        <w:t xml:space="preserve"> with the imperatives of climate, affordability, equity, safety and reliability, and beyond. </w:t>
      </w:r>
      <w:bookmarkEnd w:id="0"/>
      <w:bookmarkEnd w:id="1"/>
      <w:r w:rsidR="003E7762">
        <w:t>The organization looks forward to working with members of the Healey-Driscoll Administration, the Legislature, and beyond</w:t>
      </w:r>
      <w:r w:rsidR="003D2B11">
        <w:t>.</w:t>
      </w:r>
      <w:r w:rsidR="003E7762">
        <w:t xml:space="preserve"> </w:t>
      </w:r>
    </w:p>
    <w:sectPr w:rsidR="00CB4853" w:rsidRPr="00CA37FC" w:rsidSect="00194789">
      <w:headerReference w:type="even" r:id="rId25"/>
      <w:headerReference w:type="default" r:id="rId26"/>
      <w:footerReference w:type="default" r:id="rId27"/>
      <w:headerReference w:type="first" r:id="rId28"/>
      <w:footerReference w:type="first" r:id="rId29"/>
      <w:type w:val="continuous"/>
      <w:pgSz w:w="12240" w:h="15840" w:code="1"/>
      <w:pgMar w:top="1872" w:right="1080" w:bottom="1368" w:left="1080" w:header="1008" w:footer="0"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2B2B2" w14:textId="77777777" w:rsidR="001C6F2A" w:rsidRDefault="001C6F2A">
      <w:r>
        <w:separator/>
      </w:r>
    </w:p>
  </w:endnote>
  <w:endnote w:type="continuationSeparator" w:id="0">
    <w:p w14:paraId="1192532D" w14:textId="77777777" w:rsidR="001C6F2A" w:rsidRDefault="001C6F2A">
      <w:r>
        <w:continuationSeparator/>
      </w:r>
    </w:p>
  </w:endnote>
  <w:endnote w:type="continuationNotice" w:id="1">
    <w:p w14:paraId="154C1B65" w14:textId="77777777" w:rsidR="001C6F2A" w:rsidRDefault="001C6F2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saOT-Light">
    <w:charset w:val="00"/>
    <w:family w:val="modern"/>
    <w:notTrueType/>
    <w:pitch w:val="variable"/>
    <w:sig w:usb0="800000EF" w:usb1="4000205B" w:usb2="00000008"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isaOT-Medi">
    <w:charset w:val="00"/>
    <w:family w:val="modern"/>
    <w:notTrueType/>
    <w:pitch w:val="variable"/>
    <w:sig w:usb0="800000EF" w:usb1="4000205B" w:usb2="00000008"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rade Gothic Next SR Pro">
    <w:charset w:val="00"/>
    <w:family w:val="swiss"/>
    <w:notTrueType/>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TisaPro">
    <w:altName w:val="Calibri"/>
    <w:panose1 w:val="00000000000000000000"/>
    <w:charset w:val="00"/>
    <w:family w:val="modern"/>
    <w:notTrueType/>
    <w:pitch w:val="variable"/>
    <w:sig w:usb0="A00000FF" w:usb1="4000205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4C09" w14:textId="77777777" w:rsidR="00B01834" w:rsidRPr="00C41B28" w:rsidRDefault="00B01834" w:rsidP="00CA37FC">
    <w:pPr>
      <w:pStyle w:val="Footer"/>
      <w:spacing w:after="60"/>
      <w:jc w:val="right"/>
      <w:rPr>
        <w:rFonts w:ascii="TisaOT-Medi" w:hAnsi="TisaOT-Medi" w:cs="TisaOT-Medi"/>
        <w:color w:val="0E335E"/>
        <w:sz w:val="16"/>
        <w:szCs w:val="16"/>
        <w:lang w:val="es-MX"/>
      </w:rPr>
    </w:pPr>
    <w:r w:rsidRPr="00C41B28">
      <w:rPr>
        <w:rFonts w:ascii="TisaOT-Medi" w:hAnsi="TisaOT-Medi" w:cs="TisaOT-Medi"/>
        <w:color w:val="0E335E"/>
        <w:sz w:val="16"/>
        <w:szCs w:val="16"/>
        <w:lang w:val="es-MX"/>
      </w:rPr>
      <w:t xml:space="preserve">acadiacenter.org </w:t>
    </w:r>
    <w:r w:rsidRPr="00C41B28">
      <w:rPr>
        <w:rFonts w:ascii="TisaOT-Medi" w:hAnsi="TisaOT-Medi" w:cs="TisaOT-Medi"/>
        <w:color w:val="EB4F26"/>
        <w:sz w:val="12"/>
        <w:szCs w:val="12"/>
        <w:lang w:val="es-MX"/>
      </w:rPr>
      <w:t xml:space="preserve">● </w:t>
    </w:r>
    <w:r w:rsidRPr="00C41B28">
      <w:rPr>
        <w:rFonts w:ascii="TisaOT-Medi" w:hAnsi="TisaOT-Medi" w:cs="TisaOT-Medi"/>
        <w:color w:val="0E335E"/>
        <w:sz w:val="16"/>
        <w:szCs w:val="16"/>
        <w:lang w:val="es-MX"/>
      </w:rPr>
      <w:t xml:space="preserve">info@acadiacenter.org </w:t>
    </w:r>
    <w:r w:rsidRPr="00C41B28">
      <w:rPr>
        <w:rFonts w:ascii="TisaOT-Medi" w:hAnsi="TisaOT-Medi" w:cs="TisaOT-Medi"/>
        <w:color w:val="EB4F26"/>
        <w:sz w:val="12"/>
        <w:szCs w:val="12"/>
        <w:lang w:val="es-MX"/>
      </w:rPr>
      <w:t xml:space="preserve">● </w:t>
    </w:r>
    <w:r w:rsidRPr="00C41B28">
      <w:rPr>
        <w:rFonts w:ascii="TisaOT-Medi" w:hAnsi="TisaOT-Medi" w:cs="TisaOT-Medi"/>
        <w:color w:val="0E335E"/>
        <w:sz w:val="16"/>
        <w:szCs w:val="16"/>
        <w:lang w:val="es-MX"/>
      </w:rPr>
      <w:t>207.236.6470 ext. 001</w:t>
    </w:r>
  </w:p>
  <w:p w14:paraId="7B29ED74" w14:textId="77777777" w:rsidR="00B01834" w:rsidRPr="00D313AF" w:rsidRDefault="00B01834" w:rsidP="00CA37FC">
    <w:pPr>
      <w:pStyle w:val="Footer"/>
      <w:spacing w:after="60"/>
      <w:jc w:val="right"/>
      <w:rPr>
        <w:rFonts w:ascii="TisaOT-Medi" w:hAnsi="TisaOT-Medi" w:cs="TisaOT-Medi"/>
        <w:color w:val="0E335E"/>
        <w:sz w:val="16"/>
        <w:szCs w:val="16"/>
      </w:rPr>
    </w:pPr>
    <w:r w:rsidRPr="00D313AF">
      <w:rPr>
        <w:rFonts w:ascii="TisaOT-Medi" w:hAnsi="TisaOT-Medi" w:cs="TisaOT-Medi"/>
        <w:color w:val="0E335E"/>
        <w:sz w:val="16"/>
        <w:szCs w:val="16"/>
      </w:rPr>
      <w:t>Boston, MA</w:t>
    </w:r>
    <w:r>
      <w:rPr>
        <w:rFonts w:ascii="TisaOT-Medi" w:hAnsi="TisaOT-Medi" w:cs="TisaOT-Medi"/>
        <w:color w:val="0E335E"/>
        <w:sz w:val="16"/>
        <w:szCs w:val="16"/>
      </w:rPr>
      <w:t xml:space="preserve"> </w:t>
    </w:r>
    <w:r w:rsidRPr="00CD6124">
      <w:rPr>
        <w:rFonts w:ascii="TisaOT-Medi" w:hAnsi="TisaOT-Medi" w:cs="TisaOT-Medi"/>
        <w:color w:val="EB4F26"/>
        <w:sz w:val="12"/>
        <w:szCs w:val="12"/>
      </w:rPr>
      <w:t>●</w:t>
    </w:r>
    <w:r>
      <w:rPr>
        <w:rFonts w:ascii="TisaOT-Medi" w:hAnsi="TisaOT-Medi" w:cs="TisaOT-Medi"/>
        <w:color w:val="EB4F26"/>
        <w:sz w:val="12"/>
        <w:szCs w:val="12"/>
      </w:rPr>
      <w:t xml:space="preserve">  </w:t>
    </w:r>
    <w:r w:rsidRPr="00D313AF">
      <w:rPr>
        <w:rFonts w:ascii="TisaOT-Medi" w:hAnsi="TisaOT-Medi" w:cs="TisaOT-Medi"/>
        <w:color w:val="0E335E"/>
        <w:sz w:val="16"/>
        <w:szCs w:val="16"/>
      </w:rPr>
      <w:t>Hartford, CT</w:t>
    </w:r>
    <w:r>
      <w:rPr>
        <w:rFonts w:ascii="TisaOT-Medi" w:hAnsi="TisaOT-Medi" w:cs="TisaOT-Medi"/>
        <w:color w:val="0E335E"/>
        <w:sz w:val="16"/>
        <w:szCs w:val="16"/>
      </w:rPr>
      <w:t xml:space="preserve">  </w:t>
    </w:r>
    <w:r w:rsidRPr="00CD6124">
      <w:rPr>
        <w:rFonts w:ascii="TisaOT-Medi" w:hAnsi="TisaOT-Medi" w:cs="TisaOT-Medi"/>
        <w:color w:val="EB4F26"/>
        <w:sz w:val="12"/>
        <w:szCs w:val="12"/>
      </w:rPr>
      <w:t>●</w:t>
    </w:r>
    <w:r>
      <w:rPr>
        <w:rFonts w:ascii="TisaOT-Medi" w:hAnsi="TisaOT-Medi" w:cs="TisaOT-Medi"/>
        <w:color w:val="EB4F26"/>
        <w:sz w:val="12"/>
        <w:szCs w:val="12"/>
      </w:rPr>
      <w:t xml:space="preserve">  </w:t>
    </w:r>
    <w:r w:rsidRPr="00D313AF">
      <w:rPr>
        <w:rFonts w:ascii="TisaOT-Medi" w:hAnsi="TisaOT-Medi" w:cs="TisaOT-Medi"/>
        <w:color w:val="0E335E"/>
        <w:sz w:val="16"/>
        <w:szCs w:val="16"/>
      </w:rPr>
      <w:t>New York, NY</w:t>
    </w:r>
    <w:r>
      <w:rPr>
        <w:rFonts w:ascii="TisaOT-Medi" w:hAnsi="TisaOT-Medi" w:cs="TisaOT-Medi"/>
        <w:color w:val="0E335E"/>
        <w:sz w:val="16"/>
        <w:szCs w:val="16"/>
      </w:rPr>
      <w:t xml:space="preserve">  </w:t>
    </w:r>
    <w:r w:rsidRPr="00CD6124">
      <w:rPr>
        <w:rFonts w:ascii="TisaOT-Medi" w:hAnsi="TisaOT-Medi" w:cs="TisaOT-Medi"/>
        <w:color w:val="EB4F26"/>
        <w:sz w:val="12"/>
        <w:szCs w:val="12"/>
      </w:rPr>
      <w:t>●</w:t>
    </w:r>
    <w:r>
      <w:rPr>
        <w:rFonts w:ascii="TisaOT-Medi" w:hAnsi="TisaOT-Medi" w:cs="TisaOT-Medi"/>
        <w:color w:val="EB4F26"/>
        <w:sz w:val="12"/>
        <w:szCs w:val="12"/>
      </w:rPr>
      <w:t xml:space="preserve">  </w:t>
    </w:r>
    <w:r w:rsidRPr="00D313AF">
      <w:rPr>
        <w:rFonts w:ascii="TisaOT-Medi" w:hAnsi="TisaOT-Medi" w:cs="TisaOT-Medi"/>
        <w:color w:val="0E335E"/>
        <w:sz w:val="16"/>
        <w:szCs w:val="16"/>
      </w:rPr>
      <w:t>Providence, RI</w:t>
    </w:r>
    <w:r>
      <w:rPr>
        <w:rFonts w:ascii="TisaOT-Medi" w:hAnsi="TisaOT-Medi" w:cs="TisaOT-Medi"/>
        <w:color w:val="0E335E"/>
        <w:sz w:val="16"/>
        <w:szCs w:val="16"/>
      </w:rPr>
      <w:t xml:space="preserve">  </w:t>
    </w:r>
    <w:r w:rsidRPr="00CD6124">
      <w:rPr>
        <w:rFonts w:ascii="TisaOT-Medi" w:hAnsi="TisaOT-Medi" w:cs="TisaOT-Medi"/>
        <w:color w:val="EB4F26"/>
        <w:sz w:val="12"/>
        <w:szCs w:val="12"/>
      </w:rPr>
      <w:t>●</w:t>
    </w:r>
    <w:r>
      <w:rPr>
        <w:rFonts w:ascii="TisaOT-Medi" w:hAnsi="TisaOT-Medi" w:cs="TisaOT-Medi"/>
        <w:color w:val="EB4F26"/>
        <w:sz w:val="12"/>
        <w:szCs w:val="12"/>
      </w:rPr>
      <w:t xml:space="preserve">  </w:t>
    </w:r>
    <w:r w:rsidRPr="00D313AF">
      <w:rPr>
        <w:rFonts w:ascii="TisaOT-Medi" w:hAnsi="TisaOT-Medi" w:cs="TisaOT-Medi"/>
        <w:color w:val="0E335E"/>
        <w:sz w:val="16"/>
        <w:szCs w:val="16"/>
      </w:rPr>
      <w:t>Rockport, ME</w:t>
    </w:r>
  </w:p>
  <w:p w14:paraId="12876278" w14:textId="77777777" w:rsidR="007644C1" w:rsidRPr="00282C2E" w:rsidRDefault="007644C1" w:rsidP="008A4761">
    <w:pPr>
      <w:pStyle w:val="Footer"/>
      <w:tabs>
        <w:tab w:val="clear" w:pos="4320"/>
        <w:tab w:val="clear" w:pos="8640"/>
      </w:tabs>
      <w:rPr>
        <w:rFonts w:ascii="TisaOT-Medi" w:hAnsi="TisaOT-Medi" w:cs="TisaOT-Medi"/>
        <w:color w:val="004271" w:themeColor="text2"/>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B2AFC" w14:textId="77777777" w:rsidR="00B01834" w:rsidRPr="00C41B28" w:rsidRDefault="00B01834" w:rsidP="005A5AC5">
    <w:pPr>
      <w:pStyle w:val="Footer"/>
      <w:spacing w:after="60"/>
      <w:jc w:val="right"/>
      <w:rPr>
        <w:rFonts w:ascii="TisaOT-Medi" w:hAnsi="TisaOT-Medi" w:cs="TisaOT-Medi"/>
        <w:color w:val="0E335E"/>
        <w:sz w:val="16"/>
        <w:szCs w:val="16"/>
        <w:lang w:val="es-MX"/>
      </w:rPr>
    </w:pPr>
    <w:r w:rsidRPr="00C41B28">
      <w:rPr>
        <w:rFonts w:ascii="TisaOT-Medi" w:hAnsi="TisaOT-Medi" w:cs="TisaOT-Medi"/>
        <w:color w:val="0E335E"/>
        <w:sz w:val="16"/>
        <w:szCs w:val="16"/>
        <w:lang w:val="es-MX"/>
      </w:rPr>
      <w:t xml:space="preserve">acadiacenter.org </w:t>
    </w:r>
    <w:r w:rsidRPr="00C41B28">
      <w:rPr>
        <w:rFonts w:ascii="TisaOT-Medi" w:hAnsi="TisaOT-Medi" w:cs="TisaOT-Medi"/>
        <w:color w:val="EB4F26"/>
        <w:sz w:val="12"/>
        <w:szCs w:val="12"/>
        <w:lang w:val="es-MX"/>
      </w:rPr>
      <w:t xml:space="preserve">● </w:t>
    </w:r>
    <w:r w:rsidRPr="00C41B28">
      <w:rPr>
        <w:rFonts w:ascii="TisaOT-Medi" w:hAnsi="TisaOT-Medi" w:cs="TisaOT-Medi"/>
        <w:color w:val="0E335E"/>
        <w:sz w:val="16"/>
        <w:szCs w:val="16"/>
        <w:lang w:val="es-MX"/>
      </w:rPr>
      <w:t xml:space="preserve">info@acadiacenter.org </w:t>
    </w:r>
    <w:r w:rsidRPr="00C41B28">
      <w:rPr>
        <w:rFonts w:ascii="TisaOT-Medi" w:hAnsi="TisaOT-Medi" w:cs="TisaOT-Medi"/>
        <w:color w:val="EB4F26"/>
        <w:sz w:val="12"/>
        <w:szCs w:val="12"/>
        <w:lang w:val="es-MX"/>
      </w:rPr>
      <w:t xml:space="preserve">● </w:t>
    </w:r>
    <w:r w:rsidR="00AD5E21" w:rsidRPr="00C41B28">
      <w:rPr>
        <w:rFonts w:ascii="TisaOT-Medi" w:hAnsi="TisaOT-Medi" w:cs="TisaOT-Medi"/>
        <w:color w:val="0E335E"/>
        <w:sz w:val="16"/>
        <w:szCs w:val="16"/>
        <w:lang w:val="es-MX"/>
      </w:rPr>
      <w:t>617.742.0054</w:t>
    </w:r>
    <w:r w:rsidRPr="00C41B28">
      <w:rPr>
        <w:rFonts w:ascii="TisaOT-Medi" w:hAnsi="TisaOT-Medi" w:cs="TisaOT-Medi"/>
        <w:color w:val="0E335E"/>
        <w:sz w:val="16"/>
        <w:szCs w:val="16"/>
        <w:lang w:val="es-MX"/>
      </w:rPr>
      <w:t xml:space="preserve"> ext. 001</w:t>
    </w:r>
  </w:p>
  <w:p w14:paraId="2FBCABD6" w14:textId="77777777" w:rsidR="00B01834" w:rsidRPr="00D313AF" w:rsidRDefault="00B01834" w:rsidP="005A5AC5">
    <w:pPr>
      <w:pStyle w:val="Footer"/>
      <w:spacing w:after="60"/>
      <w:jc w:val="right"/>
      <w:rPr>
        <w:rFonts w:ascii="TisaOT-Medi" w:hAnsi="TisaOT-Medi" w:cs="TisaOT-Medi"/>
        <w:color w:val="0E335E"/>
        <w:sz w:val="16"/>
        <w:szCs w:val="16"/>
      </w:rPr>
    </w:pPr>
    <w:r w:rsidRPr="00D313AF">
      <w:rPr>
        <w:rFonts w:ascii="TisaOT-Medi" w:hAnsi="TisaOT-Medi" w:cs="TisaOT-Medi"/>
        <w:color w:val="0E335E"/>
        <w:sz w:val="16"/>
        <w:szCs w:val="16"/>
      </w:rPr>
      <w:t>Boston, MA</w:t>
    </w:r>
    <w:r>
      <w:rPr>
        <w:rFonts w:ascii="TisaOT-Medi" w:hAnsi="TisaOT-Medi" w:cs="TisaOT-Medi"/>
        <w:color w:val="0E335E"/>
        <w:sz w:val="16"/>
        <w:szCs w:val="16"/>
      </w:rPr>
      <w:t xml:space="preserve"> </w:t>
    </w:r>
    <w:r w:rsidRPr="00CD6124">
      <w:rPr>
        <w:rFonts w:ascii="TisaOT-Medi" w:hAnsi="TisaOT-Medi" w:cs="TisaOT-Medi"/>
        <w:color w:val="EB4F26"/>
        <w:sz w:val="12"/>
        <w:szCs w:val="12"/>
      </w:rPr>
      <w:t>●</w:t>
    </w:r>
    <w:r>
      <w:rPr>
        <w:rFonts w:ascii="TisaOT-Medi" w:hAnsi="TisaOT-Medi" w:cs="TisaOT-Medi"/>
        <w:color w:val="EB4F26"/>
        <w:sz w:val="12"/>
        <w:szCs w:val="12"/>
      </w:rPr>
      <w:t xml:space="preserve"> </w:t>
    </w:r>
    <w:r w:rsidRPr="00D313AF">
      <w:rPr>
        <w:rFonts w:ascii="TisaOT-Medi" w:hAnsi="TisaOT-Medi" w:cs="TisaOT-Medi"/>
        <w:color w:val="0E335E"/>
        <w:sz w:val="16"/>
        <w:szCs w:val="16"/>
      </w:rPr>
      <w:t>Hartford, CT</w:t>
    </w:r>
    <w:r>
      <w:rPr>
        <w:rFonts w:ascii="TisaOT-Medi" w:hAnsi="TisaOT-Medi" w:cs="TisaOT-Medi"/>
        <w:color w:val="0E335E"/>
        <w:sz w:val="16"/>
        <w:szCs w:val="16"/>
      </w:rPr>
      <w:t xml:space="preserve">  </w:t>
    </w:r>
    <w:r w:rsidRPr="00CD6124">
      <w:rPr>
        <w:rFonts w:ascii="TisaOT-Medi" w:hAnsi="TisaOT-Medi" w:cs="TisaOT-Medi"/>
        <w:color w:val="EB4F26"/>
        <w:sz w:val="12"/>
        <w:szCs w:val="12"/>
      </w:rPr>
      <w:t>●</w:t>
    </w:r>
    <w:r>
      <w:rPr>
        <w:rFonts w:ascii="TisaOT-Medi" w:hAnsi="TisaOT-Medi" w:cs="TisaOT-Medi"/>
        <w:color w:val="EB4F26"/>
        <w:sz w:val="12"/>
        <w:szCs w:val="12"/>
      </w:rPr>
      <w:t xml:space="preserve">  </w:t>
    </w:r>
    <w:r w:rsidRPr="00D313AF">
      <w:rPr>
        <w:rFonts w:ascii="TisaOT-Medi" w:hAnsi="TisaOT-Medi" w:cs="TisaOT-Medi"/>
        <w:color w:val="0E335E"/>
        <w:sz w:val="16"/>
        <w:szCs w:val="16"/>
      </w:rPr>
      <w:t>New York, NY</w:t>
    </w:r>
    <w:r>
      <w:rPr>
        <w:rFonts w:ascii="TisaOT-Medi" w:hAnsi="TisaOT-Medi" w:cs="TisaOT-Medi"/>
        <w:color w:val="0E335E"/>
        <w:sz w:val="16"/>
        <w:szCs w:val="16"/>
      </w:rPr>
      <w:t xml:space="preserve">  </w:t>
    </w:r>
    <w:r w:rsidRPr="00CD6124">
      <w:rPr>
        <w:rFonts w:ascii="TisaOT-Medi" w:hAnsi="TisaOT-Medi" w:cs="TisaOT-Medi"/>
        <w:color w:val="EB4F26"/>
        <w:sz w:val="12"/>
        <w:szCs w:val="12"/>
      </w:rPr>
      <w:t>●</w:t>
    </w:r>
    <w:r>
      <w:rPr>
        <w:rFonts w:ascii="TisaOT-Medi" w:hAnsi="TisaOT-Medi" w:cs="TisaOT-Medi"/>
        <w:color w:val="EB4F26"/>
        <w:sz w:val="12"/>
        <w:szCs w:val="12"/>
      </w:rPr>
      <w:t xml:space="preserve">  </w:t>
    </w:r>
    <w:r w:rsidRPr="00D313AF">
      <w:rPr>
        <w:rFonts w:ascii="TisaOT-Medi" w:hAnsi="TisaOT-Medi" w:cs="TisaOT-Medi"/>
        <w:color w:val="0E335E"/>
        <w:sz w:val="16"/>
        <w:szCs w:val="16"/>
      </w:rPr>
      <w:t>Providence, RI</w:t>
    </w:r>
    <w:r>
      <w:rPr>
        <w:rFonts w:ascii="TisaOT-Medi" w:hAnsi="TisaOT-Medi" w:cs="TisaOT-Medi"/>
        <w:color w:val="0E335E"/>
        <w:sz w:val="16"/>
        <w:szCs w:val="16"/>
      </w:rPr>
      <w:t xml:space="preserve">  </w:t>
    </w:r>
    <w:r w:rsidRPr="00CD6124">
      <w:rPr>
        <w:rFonts w:ascii="TisaOT-Medi" w:hAnsi="TisaOT-Medi" w:cs="TisaOT-Medi"/>
        <w:color w:val="EB4F26"/>
        <w:sz w:val="12"/>
        <w:szCs w:val="12"/>
      </w:rPr>
      <w:t>●</w:t>
    </w:r>
    <w:r>
      <w:rPr>
        <w:rFonts w:ascii="TisaOT-Medi" w:hAnsi="TisaOT-Medi" w:cs="TisaOT-Medi"/>
        <w:color w:val="EB4F26"/>
        <w:sz w:val="12"/>
        <w:szCs w:val="12"/>
      </w:rPr>
      <w:t xml:space="preserve">  </w:t>
    </w:r>
    <w:r w:rsidRPr="00D313AF">
      <w:rPr>
        <w:rFonts w:ascii="TisaOT-Medi" w:hAnsi="TisaOT-Medi" w:cs="TisaOT-Medi"/>
        <w:color w:val="0E335E"/>
        <w:sz w:val="16"/>
        <w:szCs w:val="16"/>
      </w:rPr>
      <w:t>Rockport, ME</w:t>
    </w:r>
  </w:p>
  <w:p w14:paraId="7419039C" w14:textId="77777777" w:rsidR="007644C1" w:rsidRPr="00E02E30" w:rsidRDefault="007644C1" w:rsidP="00997A93">
    <w:pPr>
      <w:pStyle w:val="Footer"/>
      <w:tabs>
        <w:tab w:val="clear" w:pos="8640"/>
        <w:tab w:val="right" w:pos="9360"/>
      </w:tabs>
      <w:ind w:left="9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E19C3" w14:textId="77777777" w:rsidR="001C6F2A" w:rsidRDefault="001C6F2A">
      <w:r>
        <w:separator/>
      </w:r>
    </w:p>
  </w:footnote>
  <w:footnote w:type="continuationSeparator" w:id="0">
    <w:p w14:paraId="2ECC2F1C" w14:textId="77777777" w:rsidR="001C6F2A" w:rsidRDefault="001C6F2A">
      <w:r>
        <w:continuationSeparator/>
      </w:r>
    </w:p>
  </w:footnote>
  <w:footnote w:type="continuationNotice" w:id="1">
    <w:p w14:paraId="0560EF65" w14:textId="77777777" w:rsidR="001C6F2A" w:rsidRDefault="001C6F2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6522" w14:textId="77777777" w:rsidR="00640A4C" w:rsidRDefault="000411EF">
    <w:pPr>
      <w:pStyle w:val="Header"/>
    </w:pPr>
    <w:r>
      <w:rPr>
        <w:noProof/>
      </w:rPr>
      <w:pict w14:anchorId="2D0795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734938" o:spid="_x0000_s1029" type="#_x0000_t75" style="position:absolute;left:0;text-align:left;margin-left:0;margin-top:0;width:287.25pt;height:299pt;z-index:-251658238;mso-position-horizontal:center;mso-position-horizontal-relative:margin;mso-position-vertical:center;mso-position-vertical-relative:margin" o:allowincell="f">
          <v:imagedata r:id="rId1" o:title="AcadiaCenter_compass_watermark ct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907193"/>
      <w:docPartObj>
        <w:docPartGallery w:val="Page Numbers (Top of Page)"/>
        <w:docPartUnique/>
      </w:docPartObj>
    </w:sdtPr>
    <w:sdtEndPr>
      <w:rPr>
        <w:noProof/>
        <w:color w:val="004271" w:themeColor="text2"/>
      </w:rPr>
    </w:sdtEndPr>
    <w:sdtContent>
      <w:p w14:paraId="7A04A815" w14:textId="77777777" w:rsidR="008A4761" w:rsidRPr="008A4761" w:rsidRDefault="000411EF" w:rsidP="008A4761">
        <w:pPr>
          <w:pStyle w:val="Header"/>
          <w:jc w:val="right"/>
          <w:rPr>
            <w:color w:val="004271" w:themeColor="text2"/>
          </w:rPr>
        </w:pPr>
        <w:r>
          <w:rPr>
            <w:noProof/>
            <w:color w:val="004271" w:themeColor="text2"/>
          </w:rPr>
          <w:pict w14:anchorId="1702F1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734939" o:spid="_x0000_s1030" type="#_x0000_t75" style="position:absolute;left:0;text-align:left;margin-left:0;margin-top:0;width:287.25pt;height:299pt;z-index:-251658237;mso-position-horizontal:center;mso-position-horizontal-relative:margin;mso-position-vertical:center;mso-position-vertical-relative:margin" o:allowincell="f">
              <v:imagedata r:id="rId1" o:title="AcadiaCenter_compass_watermark ctr"/>
              <w10:wrap anchorx="margin" anchory="margin"/>
            </v:shape>
          </w:pict>
        </w:r>
        <w:r w:rsidR="008A4761" w:rsidRPr="008A4761">
          <w:rPr>
            <w:color w:val="004271" w:themeColor="text2"/>
          </w:rPr>
          <w:fldChar w:fldCharType="begin"/>
        </w:r>
        <w:r w:rsidR="008A4761" w:rsidRPr="008A4761">
          <w:rPr>
            <w:color w:val="004271" w:themeColor="text2"/>
          </w:rPr>
          <w:instrText xml:space="preserve"> PAGE   \* MERGEFORMAT </w:instrText>
        </w:r>
        <w:r w:rsidR="008A4761" w:rsidRPr="008A4761">
          <w:rPr>
            <w:color w:val="004271" w:themeColor="text2"/>
          </w:rPr>
          <w:fldChar w:fldCharType="separate"/>
        </w:r>
        <w:r w:rsidR="005E7F04">
          <w:rPr>
            <w:noProof/>
            <w:color w:val="004271" w:themeColor="text2"/>
          </w:rPr>
          <w:t>2</w:t>
        </w:r>
        <w:r w:rsidR="008A4761" w:rsidRPr="008A4761">
          <w:rPr>
            <w:noProof/>
            <w:color w:val="004271" w:themeColor="text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A0FF" w14:textId="77777777" w:rsidR="003724D0" w:rsidRDefault="00F61C8B" w:rsidP="009A3A1C">
    <w:pPr>
      <w:pStyle w:val="Header"/>
      <w:tabs>
        <w:tab w:val="clear" w:pos="4320"/>
        <w:tab w:val="clear" w:pos="8640"/>
      </w:tabs>
      <w:ind w:left="0" w:right="-446"/>
      <w:rPr>
        <w:rStyle w:val="ACTitleChar"/>
      </w:rPr>
    </w:pPr>
    <w:r>
      <w:rPr>
        <w:rStyle w:val="ACTitleChar"/>
      </w:rPr>
      <w:t>For Immediate Release</w:t>
    </w:r>
  </w:p>
  <w:sdt>
    <w:sdtPr>
      <w:rPr>
        <w:rStyle w:val="ACDateChar"/>
      </w:rPr>
      <w:alias w:val="Date"/>
      <w:tag w:val="Date"/>
      <w:id w:val="-1802914633"/>
      <w:placeholder>
        <w:docPart w:val="6B6F556ACBEC434FA928848680752CD4"/>
      </w:placeholder>
      <w:date w:fullDate="2026-03-16T00:00:00Z">
        <w:dateFormat w:val="MMMM d, yyyy"/>
        <w:lid w:val="en-US"/>
        <w:storeMappedDataAs w:val="dateTime"/>
        <w:calendar w:val="gregorian"/>
      </w:date>
    </w:sdtPr>
    <w:sdtContent>
      <w:p w14:paraId="14F00A9E" w14:textId="1C5F2327" w:rsidR="003724D0" w:rsidRPr="00170C58" w:rsidRDefault="003F0B5C" w:rsidP="003724D0">
        <w:pPr>
          <w:pStyle w:val="ACBodyText"/>
          <w:rPr>
            <w:rStyle w:val="ACDateChar"/>
          </w:rPr>
        </w:pPr>
        <w:r>
          <w:rPr>
            <w:rStyle w:val="ACDateChar"/>
          </w:rPr>
          <w:t>March</w:t>
        </w:r>
        <w:r w:rsidR="003724D0">
          <w:rPr>
            <w:rStyle w:val="ACDateChar"/>
          </w:rPr>
          <w:t xml:space="preserve"> 1</w:t>
        </w:r>
        <w:r>
          <w:rPr>
            <w:rStyle w:val="ACDateChar"/>
          </w:rPr>
          <w:t>6</w:t>
        </w:r>
        <w:r w:rsidR="003724D0" w:rsidRPr="00170C58">
          <w:rPr>
            <w:rStyle w:val="ACDateChar"/>
          </w:rPr>
          <w:t>, 202</w:t>
        </w:r>
        <w:r>
          <w:rPr>
            <w:rStyle w:val="ACDateChar"/>
          </w:rPr>
          <w:t>6</w:t>
        </w:r>
      </w:p>
    </w:sdtContent>
  </w:sdt>
  <w:p w14:paraId="57D3FB88" w14:textId="77777777" w:rsidR="003724D0" w:rsidRDefault="003724D0" w:rsidP="003724D0">
    <w:pPr>
      <w:pStyle w:val="ACSubhead"/>
    </w:pPr>
    <w:r>
      <w:t>MEDIA CONTACTS:</w:t>
    </w:r>
  </w:p>
  <w:p w14:paraId="7A6569B8" w14:textId="77777777" w:rsidR="003724D0" w:rsidRDefault="003724D0" w:rsidP="003724D0">
    <w:pPr>
      <w:pStyle w:val="ACAddress"/>
    </w:pPr>
    <w:r>
      <w:t>Kyle Murray, Director, State Program Implementation</w:t>
    </w:r>
    <w:r>
      <w:br/>
    </w:r>
    <w:hyperlink r:id="rId1">
      <w:r w:rsidRPr="4B857D7B">
        <w:rPr>
          <w:rStyle w:val="Hyperlink"/>
        </w:rPr>
        <w:t>kmurray@acadiacenter.org</w:t>
      </w:r>
    </w:hyperlink>
    <w:r w:rsidRPr="003D20DC">
      <w:t>, 617-742-0054 ext.106</w:t>
    </w:r>
    <w:r>
      <w:t xml:space="preserve"> </w:t>
    </w:r>
  </w:p>
  <w:p w14:paraId="1F95A577" w14:textId="77777777" w:rsidR="003724D0" w:rsidRDefault="003724D0" w:rsidP="003724D0">
    <w:pPr>
      <w:pStyle w:val="ACAddress"/>
      <w:spacing w:after="0"/>
    </w:pPr>
  </w:p>
  <w:p w14:paraId="4AF9962E" w14:textId="77777777" w:rsidR="003724D0" w:rsidRDefault="003724D0" w:rsidP="003724D0">
    <w:pPr>
      <w:spacing w:after="0"/>
    </w:pPr>
    <w:r>
      <w:t xml:space="preserve">Jamie Dickerson, Senior Director, Climate and Clean Energy Programs </w:t>
    </w:r>
  </w:p>
  <w:p w14:paraId="64033548" w14:textId="77777777" w:rsidR="003724D0" w:rsidRDefault="003724D0" w:rsidP="003724D0">
    <w:pPr>
      <w:spacing w:after="0"/>
    </w:pPr>
    <w:hyperlink r:id="rId2">
      <w:r w:rsidRPr="4B857D7B">
        <w:rPr>
          <w:rStyle w:val="Hyperlink"/>
        </w:rPr>
        <w:t>jdickerson@acadiacenter.org</w:t>
      </w:r>
    </w:hyperlink>
    <w:r>
      <w:t>, 401-276-0600 x102.</w:t>
    </w:r>
  </w:p>
  <w:p w14:paraId="239DE924" w14:textId="15AE1216" w:rsidR="00FA0FEA" w:rsidRPr="00FA0FEA" w:rsidRDefault="000411EF" w:rsidP="009A3A1C">
    <w:pPr>
      <w:pStyle w:val="Header"/>
      <w:tabs>
        <w:tab w:val="clear" w:pos="4320"/>
        <w:tab w:val="clear" w:pos="8640"/>
      </w:tabs>
      <w:ind w:left="0" w:right="-446"/>
      <w:rPr>
        <w:rFonts w:ascii="TisaPro" w:hAnsi="TisaPro" w:cs="TisaPro"/>
        <w:color w:val="004271" w:themeColor="text2"/>
        <w:sz w:val="16"/>
        <w:szCs w:val="16"/>
      </w:rPr>
    </w:pPr>
    <w:r>
      <w:rPr>
        <w:rFonts w:ascii="TisaPro" w:hAnsi="TisaPro" w:cs="TisaPro"/>
        <w:noProof/>
        <w:color w:val="004271" w:themeColor="text2"/>
        <w:sz w:val="16"/>
        <w:szCs w:val="16"/>
      </w:rPr>
      <w:pict w14:anchorId="670298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7734937" o:spid="_x0000_s1028" type="#_x0000_t75" style="position:absolute;margin-left:0;margin-top:0;width:287.25pt;height:299pt;z-index:-251658239;mso-position-horizontal:center;mso-position-horizontal-relative:margin;mso-position-vertical:center;mso-position-vertical-relative:margin" o:allowincell="f">
          <v:imagedata r:id="rId3" o:title="AcadiaCenter_compass_watermark ctr"/>
          <w10:wrap anchorx="margin" anchory="margin"/>
        </v:shape>
      </w:pict>
    </w:r>
    <w:r w:rsidR="00B81E02">
      <w:rPr>
        <w:rFonts w:ascii="TisaPro" w:hAnsi="TisaPro" w:cs="TisaPro"/>
        <w:noProof/>
        <w:color w:val="004271" w:themeColor="text2"/>
        <w:sz w:val="16"/>
        <w:szCs w:val="16"/>
      </w:rPr>
      <w:drawing>
        <wp:anchor distT="0" distB="0" distL="114300" distR="114300" simplePos="0" relativeHeight="251658240" behindDoc="0" locked="1" layoutInCell="1" allowOverlap="1" wp14:anchorId="69AA7A00" wp14:editId="4C174F0E">
          <wp:simplePos x="0" y="0"/>
          <wp:positionH relativeFrom="margin">
            <wp:align>right</wp:align>
          </wp:positionH>
          <wp:positionV relativeFrom="page">
            <wp:posOffset>372745</wp:posOffset>
          </wp:positionV>
          <wp:extent cx="1981200" cy="13354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a:stretch>
                    <a:fillRect/>
                  </a:stretch>
                </pic:blipFill>
                <pic:spPr>
                  <a:xfrm>
                    <a:off x="0" y="0"/>
                    <a:ext cx="1981200" cy="13354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7B80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AF59C0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8B227B6"/>
    <w:multiLevelType w:val="hybridMultilevel"/>
    <w:tmpl w:val="6C8246EA"/>
    <w:lvl w:ilvl="0" w:tplc="CC100CEE">
      <w:start w:val="1"/>
      <w:numFmt w:val="bullet"/>
      <w:lvlText w:val=""/>
      <w:lvlJc w:val="left"/>
      <w:pPr>
        <w:ind w:left="1440" w:hanging="360"/>
      </w:pPr>
      <w:rPr>
        <w:rFonts w:ascii="Symbol" w:hAnsi="Symbol" w:hint="default"/>
        <w:color w:val="EB4F26"/>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ADF0842"/>
    <w:multiLevelType w:val="hybridMultilevel"/>
    <w:tmpl w:val="157A66E4"/>
    <w:lvl w:ilvl="0" w:tplc="A8289668">
      <w:start w:val="1"/>
      <w:numFmt w:val="bullet"/>
      <w:pStyle w:val="ACListParagraph"/>
      <w:lvlText w:val=""/>
      <w:lvlJc w:val="left"/>
      <w:pPr>
        <w:ind w:left="1440" w:hanging="360"/>
      </w:pPr>
      <w:rPr>
        <w:rFonts w:ascii="Symbol" w:hAnsi="Symbol" w:hint="default"/>
        <w:color w:val="EB4F26"/>
        <w:sz w:val="1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00371172">
    <w:abstractNumId w:val="2"/>
  </w:num>
  <w:num w:numId="2" w16cid:durableId="983970872">
    <w:abstractNumId w:val="2"/>
  </w:num>
  <w:num w:numId="3" w16cid:durableId="13390266">
    <w:abstractNumId w:val="3"/>
  </w:num>
  <w:num w:numId="4" w16cid:durableId="527720833">
    <w:abstractNumId w:val="3"/>
  </w:num>
  <w:num w:numId="5" w16cid:durableId="1401518623">
    <w:abstractNumId w:val="3"/>
  </w:num>
  <w:num w:numId="6" w16cid:durableId="490027988">
    <w:abstractNumId w:val="0"/>
  </w:num>
  <w:num w:numId="7" w16cid:durableId="1020203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32"/>
  <w:drawingGridVerticalSpacing w:val="187"/>
  <w:displayHorizontalDrawingGridEvery w:val="0"/>
  <w:displayVerticalDrawingGridEvery w:val="0"/>
  <w:doNotUseMarginsForDrawingGridOrigin/>
  <w:drawingGridHorizontalOrigin w:val="1440"/>
  <w:drawingGridVerticalOrigin w:val="1368"/>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2A"/>
    <w:rsid w:val="00001224"/>
    <w:rsid w:val="00003EEA"/>
    <w:rsid w:val="000049C3"/>
    <w:rsid w:val="00004C72"/>
    <w:rsid w:val="00004D89"/>
    <w:rsid w:val="00007FEF"/>
    <w:rsid w:val="00012BE7"/>
    <w:rsid w:val="0001308A"/>
    <w:rsid w:val="000132A5"/>
    <w:rsid w:val="00013A01"/>
    <w:rsid w:val="00015620"/>
    <w:rsid w:val="00016CB1"/>
    <w:rsid w:val="0002021F"/>
    <w:rsid w:val="0002227C"/>
    <w:rsid w:val="0002318A"/>
    <w:rsid w:val="00023698"/>
    <w:rsid w:val="000241B2"/>
    <w:rsid w:val="000242A0"/>
    <w:rsid w:val="0002472F"/>
    <w:rsid w:val="000249D0"/>
    <w:rsid w:val="00025152"/>
    <w:rsid w:val="0002536E"/>
    <w:rsid w:val="00025430"/>
    <w:rsid w:val="00026E84"/>
    <w:rsid w:val="00027118"/>
    <w:rsid w:val="0002724A"/>
    <w:rsid w:val="00031585"/>
    <w:rsid w:val="000322DA"/>
    <w:rsid w:val="000327E5"/>
    <w:rsid w:val="000329C9"/>
    <w:rsid w:val="0003380E"/>
    <w:rsid w:val="00033B47"/>
    <w:rsid w:val="00033E1B"/>
    <w:rsid w:val="0003478B"/>
    <w:rsid w:val="00036668"/>
    <w:rsid w:val="00037AE1"/>
    <w:rsid w:val="0004041A"/>
    <w:rsid w:val="0004053A"/>
    <w:rsid w:val="00040E25"/>
    <w:rsid w:val="000411EF"/>
    <w:rsid w:val="00043328"/>
    <w:rsid w:val="00043758"/>
    <w:rsid w:val="00044085"/>
    <w:rsid w:val="00044729"/>
    <w:rsid w:val="00046CBC"/>
    <w:rsid w:val="00047507"/>
    <w:rsid w:val="00047B20"/>
    <w:rsid w:val="0005063D"/>
    <w:rsid w:val="00050C5D"/>
    <w:rsid w:val="0005455F"/>
    <w:rsid w:val="000546BA"/>
    <w:rsid w:val="00054F47"/>
    <w:rsid w:val="0005501E"/>
    <w:rsid w:val="00056CE2"/>
    <w:rsid w:val="00056D76"/>
    <w:rsid w:val="000613E3"/>
    <w:rsid w:val="000617DE"/>
    <w:rsid w:val="00061CBC"/>
    <w:rsid w:val="00061E44"/>
    <w:rsid w:val="0006502E"/>
    <w:rsid w:val="00065AC7"/>
    <w:rsid w:val="00066779"/>
    <w:rsid w:val="00067371"/>
    <w:rsid w:val="00067A84"/>
    <w:rsid w:val="00067EA4"/>
    <w:rsid w:val="0007005A"/>
    <w:rsid w:val="000706AD"/>
    <w:rsid w:val="00070CCF"/>
    <w:rsid w:val="00070FF5"/>
    <w:rsid w:val="0007158E"/>
    <w:rsid w:val="00072855"/>
    <w:rsid w:val="00072A49"/>
    <w:rsid w:val="00073160"/>
    <w:rsid w:val="00073844"/>
    <w:rsid w:val="00074886"/>
    <w:rsid w:val="00081454"/>
    <w:rsid w:val="00082C11"/>
    <w:rsid w:val="0008436C"/>
    <w:rsid w:val="00085502"/>
    <w:rsid w:val="0008699A"/>
    <w:rsid w:val="00086A8E"/>
    <w:rsid w:val="00086D55"/>
    <w:rsid w:val="0009071D"/>
    <w:rsid w:val="00091944"/>
    <w:rsid w:val="0009776E"/>
    <w:rsid w:val="0009781A"/>
    <w:rsid w:val="000A29A4"/>
    <w:rsid w:val="000A5AD6"/>
    <w:rsid w:val="000A6DA7"/>
    <w:rsid w:val="000A773A"/>
    <w:rsid w:val="000B18D7"/>
    <w:rsid w:val="000B200B"/>
    <w:rsid w:val="000B23B9"/>
    <w:rsid w:val="000B34FF"/>
    <w:rsid w:val="000B3AE8"/>
    <w:rsid w:val="000B4FAF"/>
    <w:rsid w:val="000B5205"/>
    <w:rsid w:val="000B5209"/>
    <w:rsid w:val="000B5474"/>
    <w:rsid w:val="000B54DD"/>
    <w:rsid w:val="000B5EAC"/>
    <w:rsid w:val="000B6298"/>
    <w:rsid w:val="000C00CB"/>
    <w:rsid w:val="000C0A9B"/>
    <w:rsid w:val="000C15C6"/>
    <w:rsid w:val="000C1CA0"/>
    <w:rsid w:val="000C3B04"/>
    <w:rsid w:val="000C3EAB"/>
    <w:rsid w:val="000C4E30"/>
    <w:rsid w:val="000C5040"/>
    <w:rsid w:val="000C6D5C"/>
    <w:rsid w:val="000C6FC6"/>
    <w:rsid w:val="000C73D6"/>
    <w:rsid w:val="000D09A7"/>
    <w:rsid w:val="000D234C"/>
    <w:rsid w:val="000D3379"/>
    <w:rsid w:val="000D3F49"/>
    <w:rsid w:val="000D4B71"/>
    <w:rsid w:val="000D4D8F"/>
    <w:rsid w:val="000D5E75"/>
    <w:rsid w:val="000D77A4"/>
    <w:rsid w:val="000E2655"/>
    <w:rsid w:val="000E4DD0"/>
    <w:rsid w:val="000E5CA6"/>
    <w:rsid w:val="000E7FB2"/>
    <w:rsid w:val="000F182F"/>
    <w:rsid w:val="000F4383"/>
    <w:rsid w:val="000F68D5"/>
    <w:rsid w:val="000F777E"/>
    <w:rsid w:val="00100436"/>
    <w:rsid w:val="00101450"/>
    <w:rsid w:val="00101B3D"/>
    <w:rsid w:val="001029A3"/>
    <w:rsid w:val="001055ED"/>
    <w:rsid w:val="00107917"/>
    <w:rsid w:val="0011138C"/>
    <w:rsid w:val="001130CF"/>
    <w:rsid w:val="00114CA8"/>
    <w:rsid w:val="0011575E"/>
    <w:rsid w:val="00116515"/>
    <w:rsid w:val="00120195"/>
    <w:rsid w:val="00120C1C"/>
    <w:rsid w:val="00124143"/>
    <w:rsid w:val="00130C3D"/>
    <w:rsid w:val="00130E0F"/>
    <w:rsid w:val="001320A5"/>
    <w:rsid w:val="0013252F"/>
    <w:rsid w:val="00132A3B"/>
    <w:rsid w:val="00134370"/>
    <w:rsid w:val="00135563"/>
    <w:rsid w:val="001362FC"/>
    <w:rsid w:val="0013650E"/>
    <w:rsid w:val="00137CE3"/>
    <w:rsid w:val="0014178B"/>
    <w:rsid w:val="001447D2"/>
    <w:rsid w:val="00145DCB"/>
    <w:rsid w:val="00146639"/>
    <w:rsid w:val="00146D69"/>
    <w:rsid w:val="00147482"/>
    <w:rsid w:val="00150777"/>
    <w:rsid w:val="001545B3"/>
    <w:rsid w:val="00155A9B"/>
    <w:rsid w:val="00156FB3"/>
    <w:rsid w:val="00157EE1"/>
    <w:rsid w:val="0016077E"/>
    <w:rsid w:val="001610E9"/>
    <w:rsid w:val="00161C38"/>
    <w:rsid w:val="00162285"/>
    <w:rsid w:val="00162B33"/>
    <w:rsid w:val="00164488"/>
    <w:rsid w:val="00164550"/>
    <w:rsid w:val="0017003A"/>
    <w:rsid w:val="0017004C"/>
    <w:rsid w:val="00170C58"/>
    <w:rsid w:val="001733B5"/>
    <w:rsid w:val="0017349A"/>
    <w:rsid w:val="00173953"/>
    <w:rsid w:val="00176302"/>
    <w:rsid w:val="001768F5"/>
    <w:rsid w:val="00176D6D"/>
    <w:rsid w:val="00181D2E"/>
    <w:rsid w:val="00182F4B"/>
    <w:rsid w:val="0018336B"/>
    <w:rsid w:val="0018387E"/>
    <w:rsid w:val="00183EE9"/>
    <w:rsid w:val="00186463"/>
    <w:rsid w:val="00186E40"/>
    <w:rsid w:val="0018716B"/>
    <w:rsid w:val="00187DED"/>
    <w:rsid w:val="00191617"/>
    <w:rsid w:val="001921B6"/>
    <w:rsid w:val="001926EA"/>
    <w:rsid w:val="0019279C"/>
    <w:rsid w:val="00193944"/>
    <w:rsid w:val="00193B11"/>
    <w:rsid w:val="00193E44"/>
    <w:rsid w:val="001943F5"/>
    <w:rsid w:val="00194789"/>
    <w:rsid w:val="0019567C"/>
    <w:rsid w:val="0019745B"/>
    <w:rsid w:val="0019752A"/>
    <w:rsid w:val="0019754F"/>
    <w:rsid w:val="001A05FC"/>
    <w:rsid w:val="001A08CA"/>
    <w:rsid w:val="001A33A2"/>
    <w:rsid w:val="001A35CC"/>
    <w:rsid w:val="001A4291"/>
    <w:rsid w:val="001A4945"/>
    <w:rsid w:val="001A498F"/>
    <w:rsid w:val="001A4EC7"/>
    <w:rsid w:val="001A64C5"/>
    <w:rsid w:val="001B055E"/>
    <w:rsid w:val="001B0B90"/>
    <w:rsid w:val="001B3135"/>
    <w:rsid w:val="001B4D44"/>
    <w:rsid w:val="001B5030"/>
    <w:rsid w:val="001B60F7"/>
    <w:rsid w:val="001B648B"/>
    <w:rsid w:val="001B6BC0"/>
    <w:rsid w:val="001B7421"/>
    <w:rsid w:val="001B7C45"/>
    <w:rsid w:val="001B7E50"/>
    <w:rsid w:val="001C4453"/>
    <w:rsid w:val="001C5765"/>
    <w:rsid w:val="001C6F2A"/>
    <w:rsid w:val="001D3063"/>
    <w:rsid w:val="001D359B"/>
    <w:rsid w:val="001D3CD4"/>
    <w:rsid w:val="001D4256"/>
    <w:rsid w:val="001D44A0"/>
    <w:rsid w:val="001D5165"/>
    <w:rsid w:val="001D5B74"/>
    <w:rsid w:val="001E0064"/>
    <w:rsid w:val="001E0F76"/>
    <w:rsid w:val="001E22FA"/>
    <w:rsid w:val="001E2C52"/>
    <w:rsid w:val="001E2F5F"/>
    <w:rsid w:val="001E3706"/>
    <w:rsid w:val="001E541C"/>
    <w:rsid w:val="001F0999"/>
    <w:rsid w:val="001F3095"/>
    <w:rsid w:val="001F498D"/>
    <w:rsid w:val="001F5389"/>
    <w:rsid w:val="001F6948"/>
    <w:rsid w:val="001F7202"/>
    <w:rsid w:val="0020037C"/>
    <w:rsid w:val="00201BA6"/>
    <w:rsid w:val="00202345"/>
    <w:rsid w:val="002034A9"/>
    <w:rsid w:val="00204988"/>
    <w:rsid w:val="00206588"/>
    <w:rsid w:val="00206E16"/>
    <w:rsid w:val="00211A45"/>
    <w:rsid w:val="00211D7A"/>
    <w:rsid w:val="00213138"/>
    <w:rsid w:val="00216119"/>
    <w:rsid w:val="00220DB4"/>
    <w:rsid w:val="00221B83"/>
    <w:rsid w:val="00221EC5"/>
    <w:rsid w:val="00224B06"/>
    <w:rsid w:val="0022578B"/>
    <w:rsid w:val="00225958"/>
    <w:rsid w:val="00225AFC"/>
    <w:rsid w:val="00226381"/>
    <w:rsid w:val="002270C2"/>
    <w:rsid w:val="0023135E"/>
    <w:rsid w:val="00233D29"/>
    <w:rsid w:val="00233EA6"/>
    <w:rsid w:val="00234038"/>
    <w:rsid w:val="002356AF"/>
    <w:rsid w:val="0023625B"/>
    <w:rsid w:val="002362D1"/>
    <w:rsid w:val="00236D55"/>
    <w:rsid w:val="00237A80"/>
    <w:rsid w:val="00241475"/>
    <w:rsid w:val="00241BA2"/>
    <w:rsid w:val="002422BA"/>
    <w:rsid w:val="00242306"/>
    <w:rsid w:val="002425E9"/>
    <w:rsid w:val="002431B9"/>
    <w:rsid w:val="00243394"/>
    <w:rsid w:val="0024476B"/>
    <w:rsid w:val="00246E77"/>
    <w:rsid w:val="00247F9A"/>
    <w:rsid w:val="00250A50"/>
    <w:rsid w:val="00250ABD"/>
    <w:rsid w:val="002531BD"/>
    <w:rsid w:val="002534B5"/>
    <w:rsid w:val="00253640"/>
    <w:rsid w:val="0025522B"/>
    <w:rsid w:val="002560D8"/>
    <w:rsid w:val="00256D63"/>
    <w:rsid w:val="00257167"/>
    <w:rsid w:val="00260437"/>
    <w:rsid w:val="00260CAB"/>
    <w:rsid w:val="0026103C"/>
    <w:rsid w:val="002631FC"/>
    <w:rsid w:val="002658E3"/>
    <w:rsid w:val="00265BD7"/>
    <w:rsid w:val="002661AD"/>
    <w:rsid w:val="00266444"/>
    <w:rsid w:val="00266764"/>
    <w:rsid w:val="002668B4"/>
    <w:rsid w:val="0026716F"/>
    <w:rsid w:val="00272039"/>
    <w:rsid w:val="002732C1"/>
    <w:rsid w:val="00273D70"/>
    <w:rsid w:val="00274FF8"/>
    <w:rsid w:val="0027576F"/>
    <w:rsid w:val="0027785E"/>
    <w:rsid w:val="002804C3"/>
    <w:rsid w:val="00282AD3"/>
    <w:rsid w:val="00282C2E"/>
    <w:rsid w:val="00285BFD"/>
    <w:rsid w:val="00285D09"/>
    <w:rsid w:val="00286C00"/>
    <w:rsid w:val="00291A16"/>
    <w:rsid w:val="00292266"/>
    <w:rsid w:val="00292A65"/>
    <w:rsid w:val="002935C0"/>
    <w:rsid w:val="00293819"/>
    <w:rsid w:val="00295083"/>
    <w:rsid w:val="00296798"/>
    <w:rsid w:val="002969E6"/>
    <w:rsid w:val="002973AF"/>
    <w:rsid w:val="002A02CB"/>
    <w:rsid w:val="002A0435"/>
    <w:rsid w:val="002A0A4F"/>
    <w:rsid w:val="002A0FAB"/>
    <w:rsid w:val="002A12F0"/>
    <w:rsid w:val="002A27E5"/>
    <w:rsid w:val="002A38DE"/>
    <w:rsid w:val="002A3CBC"/>
    <w:rsid w:val="002A5A8B"/>
    <w:rsid w:val="002A633D"/>
    <w:rsid w:val="002A69FC"/>
    <w:rsid w:val="002A7856"/>
    <w:rsid w:val="002B0E3F"/>
    <w:rsid w:val="002B1285"/>
    <w:rsid w:val="002B1403"/>
    <w:rsid w:val="002B18FA"/>
    <w:rsid w:val="002B2C91"/>
    <w:rsid w:val="002B4B92"/>
    <w:rsid w:val="002B4E1C"/>
    <w:rsid w:val="002B6951"/>
    <w:rsid w:val="002B7BED"/>
    <w:rsid w:val="002B7DA4"/>
    <w:rsid w:val="002C02F8"/>
    <w:rsid w:val="002C19FD"/>
    <w:rsid w:val="002C1BC2"/>
    <w:rsid w:val="002C2E0C"/>
    <w:rsid w:val="002C2E42"/>
    <w:rsid w:val="002C4798"/>
    <w:rsid w:val="002C48E6"/>
    <w:rsid w:val="002C556B"/>
    <w:rsid w:val="002C5885"/>
    <w:rsid w:val="002C74F4"/>
    <w:rsid w:val="002C7612"/>
    <w:rsid w:val="002D022F"/>
    <w:rsid w:val="002D050B"/>
    <w:rsid w:val="002D1343"/>
    <w:rsid w:val="002D2BFD"/>
    <w:rsid w:val="002D4A0D"/>
    <w:rsid w:val="002D60D1"/>
    <w:rsid w:val="002E01AA"/>
    <w:rsid w:val="002E34A9"/>
    <w:rsid w:val="002E4B02"/>
    <w:rsid w:val="002E6ADF"/>
    <w:rsid w:val="002E6AE1"/>
    <w:rsid w:val="002F0A51"/>
    <w:rsid w:val="002F1118"/>
    <w:rsid w:val="002F461C"/>
    <w:rsid w:val="002F7110"/>
    <w:rsid w:val="00301776"/>
    <w:rsid w:val="00303397"/>
    <w:rsid w:val="00306264"/>
    <w:rsid w:val="00307674"/>
    <w:rsid w:val="00307C30"/>
    <w:rsid w:val="0031026C"/>
    <w:rsid w:val="00311382"/>
    <w:rsid w:val="00311684"/>
    <w:rsid w:val="0031178F"/>
    <w:rsid w:val="00311E80"/>
    <w:rsid w:val="00312A80"/>
    <w:rsid w:val="00315FFF"/>
    <w:rsid w:val="0032041F"/>
    <w:rsid w:val="0032156E"/>
    <w:rsid w:val="00321682"/>
    <w:rsid w:val="00322061"/>
    <w:rsid w:val="00322466"/>
    <w:rsid w:val="003226DB"/>
    <w:rsid w:val="00323917"/>
    <w:rsid w:val="00325474"/>
    <w:rsid w:val="00325E4D"/>
    <w:rsid w:val="00325F8E"/>
    <w:rsid w:val="003305CE"/>
    <w:rsid w:val="0033172E"/>
    <w:rsid w:val="00331A9F"/>
    <w:rsid w:val="00332C9D"/>
    <w:rsid w:val="00333BA8"/>
    <w:rsid w:val="003346F3"/>
    <w:rsid w:val="00334AEF"/>
    <w:rsid w:val="00334FCB"/>
    <w:rsid w:val="0033697E"/>
    <w:rsid w:val="00342265"/>
    <w:rsid w:val="00342833"/>
    <w:rsid w:val="00342991"/>
    <w:rsid w:val="00342ECB"/>
    <w:rsid w:val="00343267"/>
    <w:rsid w:val="00343623"/>
    <w:rsid w:val="003447F8"/>
    <w:rsid w:val="00344909"/>
    <w:rsid w:val="00344CCF"/>
    <w:rsid w:val="00347836"/>
    <w:rsid w:val="0035002D"/>
    <w:rsid w:val="00351D2F"/>
    <w:rsid w:val="00351E24"/>
    <w:rsid w:val="0035239F"/>
    <w:rsid w:val="00353F35"/>
    <w:rsid w:val="00354074"/>
    <w:rsid w:val="0035517C"/>
    <w:rsid w:val="00356741"/>
    <w:rsid w:val="00360DE8"/>
    <w:rsid w:val="003615BC"/>
    <w:rsid w:val="003622FD"/>
    <w:rsid w:val="003636A0"/>
    <w:rsid w:val="00364960"/>
    <w:rsid w:val="003651D9"/>
    <w:rsid w:val="00365898"/>
    <w:rsid w:val="0036656D"/>
    <w:rsid w:val="003700BE"/>
    <w:rsid w:val="00371BA8"/>
    <w:rsid w:val="003724D0"/>
    <w:rsid w:val="00374218"/>
    <w:rsid w:val="003746C1"/>
    <w:rsid w:val="00374842"/>
    <w:rsid w:val="003768BB"/>
    <w:rsid w:val="00377633"/>
    <w:rsid w:val="00377C63"/>
    <w:rsid w:val="0038035C"/>
    <w:rsid w:val="00382715"/>
    <w:rsid w:val="0038387F"/>
    <w:rsid w:val="00386F2C"/>
    <w:rsid w:val="0038713E"/>
    <w:rsid w:val="003900E4"/>
    <w:rsid w:val="00393E4B"/>
    <w:rsid w:val="003A1335"/>
    <w:rsid w:val="003A15FF"/>
    <w:rsid w:val="003A199E"/>
    <w:rsid w:val="003A348D"/>
    <w:rsid w:val="003A48C7"/>
    <w:rsid w:val="003A4AB8"/>
    <w:rsid w:val="003A5C0C"/>
    <w:rsid w:val="003A5EC4"/>
    <w:rsid w:val="003A66DB"/>
    <w:rsid w:val="003A7383"/>
    <w:rsid w:val="003B2AFF"/>
    <w:rsid w:val="003C0AD2"/>
    <w:rsid w:val="003C213F"/>
    <w:rsid w:val="003C232C"/>
    <w:rsid w:val="003C25D7"/>
    <w:rsid w:val="003C2F8C"/>
    <w:rsid w:val="003C349E"/>
    <w:rsid w:val="003C3D96"/>
    <w:rsid w:val="003C437E"/>
    <w:rsid w:val="003C46A1"/>
    <w:rsid w:val="003C517E"/>
    <w:rsid w:val="003C55BA"/>
    <w:rsid w:val="003C5C2F"/>
    <w:rsid w:val="003C65D3"/>
    <w:rsid w:val="003C6740"/>
    <w:rsid w:val="003C77AF"/>
    <w:rsid w:val="003C7DFE"/>
    <w:rsid w:val="003D034D"/>
    <w:rsid w:val="003D120F"/>
    <w:rsid w:val="003D2B11"/>
    <w:rsid w:val="003D4427"/>
    <w:rsid w:val="003D56B5"/>
    <w:rsid w:val="003D7259"/>
    <w:rsid w:val="003E0B8B"/>
    <w:rsid w:val="003E24BF"/>
    <w:rsid w:val="003E5105"/>
    <w:rsid w:val="003E5F8A"/>
    <w:rsid w:val="003E6042"/>
    <w:rsid w:val="003E60DF"/>
    <w:rsid w:val="003E64B1"/>
    <w:rsid w:val="003E73D9"/>
    <w:rsid w:val="003E7445"/>
    <w:rsid w:val="003E7628"/>
    <w:rsid w:val="003E7762"/>
    <w:rsid w:val="003F070A"/>
    <w:rsid w:val="003F0725"/>
    <w:rsid w:val="003F0B5C"/>
    <w:rsid w:val="003F1AC2"/>
    <w:rsid w:val="003F228D"/>
    <w:rsid w:val="003F3C07"/>
    <w:rsid w:val="003F3EAA"/>
    <w:rsid w:val="003F46BA"/>
    <w:rsid w:val="003F66C1"/>
    <w:rsid w:val="003F7350"/>
    <w:rsid w:val="00400A2B"/>
    <w:rsid w:val="00401BD4"/>
    <w:rsid w:val="00401C40"/>
    <w:rsid w:val="00401FC1"/>
    <w:rsid w:val="004030AC"/>
    <w:rsid w:val="0040448E"/>
    <w:rsid w:val="00406091"/>
    <w:rsid w:val="004075AC"/>
    <w:rsid w:val="004100BC"/>
    <w:rsid w:val="0041200A"/>
    <w:rsid w:val="00413274"/>
    <w:rsid w:val="004136CC"/>
    <w:rsid w:val="004137E3"/>
    <w:rsid w:val="00415667"/>
    <w:rsid w:val="004176D3"/>
    <w:rsid w:val="004206E2"/>
    <w:rsid w:val="00420E3C"/>
    <w:rsid w:val="0042261E"/>
    <w:rsid w:val="004245C3"/>
    <w:rsid w:val="00425426"/>
    <w:rsid w:val="00430EC2"/>
    <w:rsid w:val="004348C6"/>
    <w:rsid w:val="00435412"/>
    <w:rsid w:val="00435BC5"/>
    <w:rsid w:val="00436DA2"/>
    <w:rsid w:val="00442541"/>
    <w:rsid w:val="0044591F"/>
    <w:rsid w:val="00445971"/>
    <w:rsid w:val="004459EE"/>
    <w:rsid w:val="00446222"/>
    <w:rsid w:val="0045024B"/>
    <w:rsid w:val="00450FF0"/>
    <w:rsid w:val="00451282"/>
    <w:rsid w:val="00452E21"/>
    <w:rsid w:val="00453274"/>
    <w:rsid w:val="004543D8"/>
    <w:rsid w:val="00455274"/>
    <w:rsid w:val="00456301"/>
    <w:rsid w:val="00460E03"/>
    <w:rsid w:val="0046150A"/>
    <w:rsid w:val="004625FB"/>
    <w:rsid w:val="0046332B"/>
    <w:rsid w:val="00463550"/>
    <w:rsid w:val="0046402F"/>
    <w:rsid w:val="0046584B"/>
    <w:rsid w:val="00467797"/>
    <w:rsid w:val="00471411"/>
    <w:rsid w:val="00474229"/>
    <w:rsid w:val="00474DD0"/>
    <w:rsid w:val="00475927"/>
    <w:rsid w:val="00475A11"/>
    <w:rsid w:val="0048048A"/>
    <w:rsid w:val="00482C8A"/>
    <w:rsid w:val="00482D49"/>
    <w:rsid w:val="00486085"/>
    <w:rsid w:val="00487187"/>
    <w:rsid w:val="00490291"/>
    <w:rsid w:val="00490627"/>
    <w:rsid w:val="00491214"/>
    <w:rsid w:val="004928B5"/>
    <w:rsid w:val="00493196"/>
    <w:rsid w:val="0049346D"/>
    <w:rsid w:val="00493CE7"/>
    <w:rsid w:val="0049596C"/>
    <w:rsid w:val="004977EB"/>
    <w:rsid w:val="00497EB5"/>
    <w:rsid w:val="004A084A"/>
    <w:rsid w:val="004A0942"/>
    <w:rsid w:val="004A2B91"/>
    <w:rsid w:val="004A2CFA"/>
    <w:rsid w:val="004A3176"/>
    <w:rsid w:val="004A5236"/>
    <w:rsid w:val="004A7C14"/>
    <w:rsid w:val="004A7FBC"/>
    <w:rsid w:val="004B0557"/>
    <w:rsid w:val="004B14B4"/>
    <w:rsid w:val="004B178A"/>
    <w:rsid w:val="004B509B"/>
    <w:rsid w:val="004B56A2"/>
    <w:rsid w:val="004B60EB"/>
    <w:rsid w:val="004B6648"/>
    <w:rsid w:val="004B7308"/>
    <w:rsid w:val="004C2141"/>
    <w:rsid w:val="004C3A1C"/>
    <w:rsid w:val="004C4679"/>
    <w:rsid w:val="004C5662"/>
    <w:rsid w:val="004D0502"/>
    <w:rsid w:val="004D0FDD"/>
    <w:rsid w:val="004D36CF"/>
    <w:rsid w:val="004D46FF"/>
    <w:rsid w:val="004E0711"/>
    <w:rsid w:val="004E0836"/>
    <w:rsid w:val="004E0BE6"/>
    <w:rsid w:val="004E3262"/>
    <w:rsid w:val="004E6C73"/>
    <w:rsid w:val="004F0178"/>
    <w:rsid w:val="004F0BB1"/>
    <w:rsid w:val="004F1046"/>
    <w:rsid w:val="004F14B9"/>
    <w:rsid w:val="004F333A"/>
    <w:rsid w:val="004F5DF7"/>
    <w:rsid w:val="004F671A"/>
    <w:rsid w:val="004F749F"/>
    <w:rsid w:val="00502985"/>
    <w:rsid w:val="00504BA9"/>
    <w:rsid w:val="00504E3D"/>
    <w:rsid w:val="00512085"/>
    <w:rsid w:val="00512718"/>
    <w:rsid w:val="00513C1F"/>
    <w:rsid w:val="00513F20"/>
    <w:rsid w:val="00515376"/>
    <w:rsid w:val="005166D2"/>
    <w:rsid w:val="00517899"/>
    <w:rsid w:val="00521331"/>
    <w:rsid w:val="00521A3D"/>
    <w:rsid w:val="00521E02"/>
    <w:rsid w:val="00522412"/>
    <w:rsid w:val="0052328B"/>
    <w:rsid w:val="0052459F"/>
    <w:rsid w:val="005248EC"/>
    <w:rsid w:val="00525391"/>
    <w:rsid w:val="00526A44"/>
    <w:rsid w:val="005270C4"/>
    <w:rsid w:val="00531C4D"/>
    <w:rsid w:val="00531DBE"/>
    <w:rsid w:val="005321D2"/>
    <w:rsid w:val="005330E8"/>
    <w:rsid w:val="00533E28"/>
    <w:rsid w:val="00535762"/>
    <w:rsid w:val="005369D8"/>
    <w:rsid w:val="00536FEE"/>
    <w:rsid w:val="00537CD5"/>
    <w:rsid w:val="0054220E"/>
    <w:rsid w:val="00542732"/>
    <w:rsid w:val="0054401D"/>
    <w:rsid w:val="005455A1"/>
    <w:rsid w:val="005461FB"/>
    <w:rsid w:val="005466E8"/>
    <w:rsid w:val="00547EA7"/>
    <w:rsid w:val="0055191C"/>
    <w:rsid w:val="00552157"/>
    <w:rsid w:val="00552B6D"/>
    <w:rsid w:val="00554220"/>
    <w:rsid w:val="0055694F"/>
    <w:rsid w:val="00556F77"/>
    <w:rsid w:val="005575AE"/>
    <w:rsid w:val="0056012C"/>
    <w:rsid w:val="00560C4D"/>
    <w:rsid w:val="00561C58"/>
    <w:rsid w:val="00564E4F"/>
    <w:rsid w:val="00565A27"/>
    <w:rsid w:val="005666C2"/>
    <w:rsid w:val="00567B68"/>
    <w:rsid w:val="005734F7"/>
    <w:rsid w:val="0057474D"/>
    <w:rsid w:val="0057476C"/>
    <w:rsid w:val="00574918"/>
    <w:rsid w:val="0057588B"/>
    <w:rsid w:val="00576D13"/>
    <w:rsid w:val="00580F7C"/>
    <w:rsid w:val="00592330"/>
    <w:rsid w:val="00592BE7"/>
    <w:rsid w:val="0059331D"/>
    <w:rsid w:val="0059425D"/>
    <w:rsid w:val="005958A5"/>
    <w:rsid w:val="00595AE9"/>
    <w:rsid w:val="005A1178"/>
    <w:rsid w:val="005A23D4"/>
    <w:rsid w:val="005A4D94"/>
    <w:rsid w:val="005A57F1"/>
    <w:rsid w:val="005A58B1"/>
    <w:rsid w:val="005A5AC5"/>
    <w:rsid w:val="005A610F"/>
    <w:rsid w:val="005A67B9"/>
    <w:rsid w:val="005A75AE"/>
    <w:rsid w:val="005A7C13"/>
    <w:rsid w:val="005A7D10"/>
    <w:rsid w:val="005B2309"/>
    <w:rsid w:val="005B27B0"/>
    <w:rsid w:val="005B3936"/>
    <w:rsid w:val="005B39F1"/>
    <w:rsid w:val="005B575F"/>
    <w:rsid w:val="005B71B7"/>
    <w:rsid w:val="005B7D03"/>
    <w:rsid w:val="005C20B0"/>
    <w:rsid w:val="005C2DE9"/>
    <w:rsid w:val="005C5A66"/>
    <w:rsid w:val="005C61E2"/>
    <w:rsid w:val="005C6413"/>
    <w:rsid w:val="005C6936"/>
    <w:rsid w:val="005C698B"/>
    <w:rsid w:val="005C7038"/>
    <w:rsid w:val="005C7B25"/>
    <w:rsid w:val="005D0D46"/>
    <w:rsid w:val="005D14FE"/>
    <w:rsid w:val="005D28B3"/>
    <w:rsid w:val="005D33A7"/>
    <w:rsid w:val="005D351C"/>
    <w:rsid w:val="005D35B2"/>
    <w:rsid w:val="005D3627"/>
    <w:rsid w:val="005D377A"/>
    <w:rsid w:val="005D4C80"/>
    <w:rsid w:val="005D5603"/>
    <w:rsid w:val="005D62DB"/>
    <w:rsid w:val="005D6910"/>
    <w:rsid w:val="005D6B9E"/>
    <w:rsid w:val="005E0A20"/>
    <w:rsid w:val="005E355C"/>
    <w:rsid w:val="005E423A"/>
    <w:rsid w:val="005E4C65"/>
    <w:rsid w:val="005E5670"/>
    <w:rsid w:val="005E5CAA"/>
    <w:rsid w:val="005E668D"/>
    <w:rsid w:val="005E6776"/>
    <w:rsid w:val="005E7F04"/>
    <w:rsid w:val="005F09A4"/>
    <w:rsid w:val="005F0BB9"/>
    <w:rsid w:val="005F0E69"/>
    <w:rsid w:val="005F1982"/>
    <w:rsid w:val="005F19A4"/>
    <w:rsid w:val="005F4CBF"/>
    <w:rsid w:val="00600428"/>
    <w:rsid w:val="0060197C"/>
    <w:rsid w:val="00601D93"/>
    <w:rsid w:val="00603A43"/>
    <w:rsid w:val="00604B1A"/>
    <w:rsid w:val="00606EC2"/>
    <w:rsid w:val="00607079"/>
    <w:rsid w:val="006127C7"/>
    <w:rsid w:val="00617337"/>
    <w:rsid w:val="006213C4"/>
    <w:rsid w:val="00622C05"/>
    <w:rsid w:val="006238F2"/>
    <w:rsid w:val="00623AE3"/>
    <w:rsid w:val="00623AE7"/>
    <w:rsid w:val="006244AC"/>
    <w:rsid w:val="006247A9"/>
    <w:rsid w:val="006260BE"/>
    <w:rsid w:val="006270C5"/>
    <w:rsid w:val="00627153"/>
    <w:rsid w:val="00627B74"/>
    <w:rsid w:val="00632981"/>
    <w:rsid w:val="006334B7"/>
    <w:rsid w:val="00635000"/>
    <w:rsid w:val="00635128"/>
    <w:rsid w:val="0063584D"/>
    <w:rsid w:val="00636825"/>
    <w:rsid w:val="0063717D"/>
    <w:rsid w:val="00637E5D"/>
    <w:rsid w:val="006405E7"/>
    <w:rsid w:val="00640A4C"/>
    <w:rsid w:val="00642742"/>
    <w:rsid w:val="00642A6B"/>
    <w:rsid w:val="00643BFA"/>
    <w:rsid w:val="00644240"/>
    <w:rsid w:val="00645864"/>
    <w:rsid w:val="00645983"/>
    <w:rsid w:val="006461DB"/>
    <w:rsid w:val="00650271"/>
    <w:rsid w:val="0065032E"/>
    <w:rsid w:val="00650A84"/>
    <w:rsid w:val="0065137B"/>
    <w:rsid w:val="006513A9"/>
    <w:rsid w:val="00652A20"/>
    <w:rsid w:val="006535D0"/>
    <w:rsid w:val="00653855"/>
    <w:rsid w:val="00653B2D"/>
    <w:rsid w:val="00654FC7"/>
    <w:rsid w:val="00656B21"/>
    <w:rsid w:val="00656C19"/>
    <w:rsid w:val="006631C7"/>
    <w:rsid w:val="0066785A"/>
    <w:rsid w:val="00670247"/>
    <w:rsid w:val="0067099E"/>
    <w:rsid w:val="00672C75"/>
    <w:rsid w:val="00673A51"/>
    <w:rsid w:val="006754A7"/>
    <w:rsid w:val="0067740C"/>
    <w:rsid w:val="006778AF"/>
    <w:rsid w:val="006851C8"/>
    <w:rsid w:val="00686771"/>
    <w:rsid w:val="00687868"/>
    <w:rsid w:val="00690741"/>
    <w:rsid w:val="006925D3"/>
    <w:rsid w:val="0069380D"/>
    <w:rsid w:val="00694DDA"/>
    <w:rsid w:val="00695142"/>
    <w:rsid w:val="00696829"/>
    <w:rsid w:val="00696D12"/>
    <w:rsid w:val="006A0073"/>
    <w:rsid w:val="006A1B79"/>
    <w:rsid w:val="006A20B4"/>
    <w:rsid w:val="006A6A98"/>
    <w:rsid w:val="006A6EA9"/>
    <w:rsid w:val="006A790C"/>
    <w:rsid w:val="006B3418"/>
    <w:rsid w:val="006B3CE5"/>
    <w:rsid w:val="006B3E16"/>
    <w:rsid w:val="006B43EC"/>
    <w:rsid w:val="006B5531"/>
    <w:rsid w:val="006B5DCF"/>
    <w:rsid w:val="006B5E1A"/>
    <w:rsid w:val="006C126F"/>
    <w:rsid w:val="006C18AD"/>
    <w:rsid w:val="006C2A8F"/>
    <w:rsid w:val="006C352E"/>
    <w:rsid w:val="006C38B9"/>
    <w:rsid w:val="006C3F7C"/>
    <w:rsid w:val="006C450E"/>
    <w:rsid w:val="006C4B59"/>
    <w:rsid w:val="006C52A3"/>
    <w:rsid w:val="006C7829"/>
    <w:rsid w:val="006D0335"/>
    <w:rsid w:val="006D3522"/>
    <w:rsid w:val="006D43D4"/>
    <w:rsid w:val="006D73C3"/>
    <w:rsid w:val="006E02EA"/>
    <w:rsid w:val="006E1585"/>
    <w:rsid w:val="006E23C6"/>
    <w:rsid w:val="006E416D"/>
    <w:rsid w:val="006E76BC"/>
    <w:rsid w:val="006F0BE5"/>
    <w:rsid w:val="006F0DF1"/>
    <w:rsid w:val="006F0EEF"/>
    <w:rsid w:val="006F1715"/>
    <w:rsid w:val="006F1B3A"/>
    <w:rsid w:val="006F284E"/>
    <w:rsid w:val="006F291C"/>
    <w:rsid w:val="006F4DB0"/>
    <w:rsid w:val="006F77A4"/>
    <w:rsid w:val="006F7C85"/>
    <w:rsid w:val="00700632"/>
    <w:rsid w:val="00701144"/>
    <w:rsid w:val="00703720"/>
    <w:rsid w:val="00704D52"/>
    <w:rsid w:val="00704D69"/>
    <w:rsid w:val="00705480"/>
    <w:rsid w:val="00705ACE"/>
    <w:rsid w:val="00711C29"/>
    <w:rsid w:val="00712026"/>
    <w:rsid w:val="00712711"/>
    <w:rsid w:val="00712F11"/>
    <w:rsid w:val="00714A35"/>
    <w:rsid w:val="007169B9"/>
    <w:rsid w:val="00720DB0"/>
    <w:rsid w:val="00721039"/>
    <w:rsid w:val="00721A85"/>
    <w:rsid w:val="00723087"/>
    <w:rsid w:val="007233E1"/>
    <w:rsid w:val="00723793"/>
    <w:rsid w:val="007248FB"/>
    <w:rsid w:val="00726C8A"/>
    <w:rsid w:val="00726F01"/>
    <w:rsid w:val="00727AFD"/>
    <w:rsid w:val="0073341A"/>
    <w:rsid w:val="007341AC"/>
    <w:rsid w:val="007343A5"/>
    <w:rsid w:val="00735D3A"/>
    <w:rsid w:val="00737386"/>
    <w:rsid w:val="007401AD"/>
    <w:rsid w:val="007404BF"/>
    <w:rsid w:val="0074052C"/>
    <w:rsid w:val="007413ED"/>
    <w:rsid w:val="0074149B"/>
    <w:rsid w:val="00741BA2"/>
    <w:rsid w:val="00741C21"/>
    <w:rsid w:val="00743141"/>
    <w:rsid w:val="00743307"/>
    <w:rsid w:val="00743AA1"/>
    <w:rsid w:val="00743F44"/>
    <w:rsid w:val="00744861"/>
    <w:rsid w:val="007452AA"/>
    <w:rsid w:val="00747EF6"/>
    <w:rsid w:val="00754217"/>
    <w:rsid w:val="00755F7E"/>
    <w:rsid w:val="00756116"/>
    <w:rsid w:val="00757453"/>
    <w:rsid w:val="007608FF"/>
    <w:rsid w:val="00761E05"/>
    <w:rsid w:val="0076210C"/>
    <w:rsid w:val="007629AD"/>
    <w:rsid w:val="007644C1"/>
    <w:rsid w:val="007651F8"/>
    <w:rsid w:val="007652E1"/>
    <w:rsid w:val="007662C3"/>
    <w:rsid w:val="00772644"/>
    <w:rsid w:val="0077346A"/>
    <w:rsid w:val="00773681"/>
    <w:rsid w:val="00773AC9"/>
    <w:rsid w:val="00773EF6"/>
    <w:rsid w:val="00774E3B"/>
    <w:rsid w:val="007754B9"/>
    <w:rsid w:val="00776E38"/>
    <w:rsid w:val="00782ABF"/>
    <w:rsid w:val="00782FA7"/>
    <w:rsid w:val="0078530B"/>
    <w:rsid w:val="00786295"/>
    <w:rsid w:val="007868C7"/>
    <w:rsid w:val="00786C76"/>
    <w:rsid w:val="00786F0B"/>
    <w:rsid w:val="007909E7"/>
    <w:rsid w:val="007912F0"/>
    <w:rsid w:val="007914F8"/>
    <w:rsid w:val="00791C2F"/>
    <w:rsid w:val="00794CBC"/>
    <w:rsid w:val="00794E80"/>
    <w:rsid w:val="0079541B"/>
    <w:rsid w:val="00795DAF"/>
    <w:rsid w:val="0079621C"/>
    <w:rsid w:val="00796C31"/>
    <w:rsid w:val="00797E14"/>
    <w:rsid w:val="007A06CD"/>
    <w:rsid w:val="007A13B3"/>
    <w:rsid w:val="007A33C2"/>
    <w:rsid w:val="007A5212"/>
    <w:rsid w:val="007A74E6"/>
    <w:rsid w:val="007B104F"/>
    <w:rsid w:val="007B1616"/>
    <w:rsid w:val="007B409D"/>
    <w:rsid w:val="007B4524"/>
    <w:rsid w:val="007B4D51"/>
    <w:rsid w:val="007B5660"/>
    <w:rsid w:val="007B67D7"/>
    <w:rsid w:val="007B6E86"/>
    <w:rsid w:val="007B6FD5"/>
    <w:rsid w:val="007B7A9C"/>
    <w:rsid w:val="007C1490"/>
    <w:rsid w:val="007C1584"/>
    <w:rsid w:val="007C1A98"/>
    <w:rsid w:val="007C3EA8"/>
    <w:rsid w:val="007C550F"/>
    <w:rsid w:val="007C5520"/>
    <w:rsid w:val="007C5617"/>
    <w:rsid w:val="007C75ED"/>
    <w:rsid w:val="007D1A73"/>
    <w:rsid w:val="007D28E9"/>
    <w:rsid w:val="007D35B0"/>
    <w:rsid w:val="007D42C4"/>
    <w:rsid w:val="007D4CF0"/>
    <w:rsid w:val="007D6ACE"/>
    <w:rsid w:val="007D749A"/>
    <w:rsid w:val="007D799C"/>
    <w:rsid w:val="007E03F2"/>
    <w:rsid w:val="007E1A1F"/>
    <w:rsid w:val="007E1EF0"/>
    <w:rsid w:val="007E2B0F"/>
    <w:rsid w:val="007E2D9A"/>
    <w:rsid w:val="007E329C"/>
    <w:rsid w:val="007E5BDC"/>
    <w:rsid w:val="007F1525"/>
    <w:rsid w:val="007F1D2C"/>
    <w:rsid w:val="007F3045"/>
    <w:rsid w:val="007F3B24"/>
    <w:rsid w:val="007F4D2E"/>
    <w:rsid w:val="007F4FF3"/>
    <w:rsid w:val="007F520B"/>
    <w:rsid w:val="007F5644"/>
    <w:rsid w:val="00800A9C"/>
    <w:rsid w:val="008015A9"/>
    <w:rsid w:val="00804139"/>
    <w:rsid w:val="0080482B"/>
    <w:rsid w:val="00804B42"/>
    <w:rsid w:val="00804C08"/>
    <w:rsid w:val="008052C5"/>
    <w:rsid w:val="00805C1B"/>
    <w:rsid w:val="00805FCB"/>
    <w:rsid w:val="008062DA"/>
    <w:rsid w:val="008063C5"/>
    <w:rsid w:val="00806449"/>
    <w:rsid w:val="008075A3"/>
    <w:rsid w:val="00807A49"/>
    <w:rsid w:val="00811ADA"/>
    <w:rsid w:val="008137D3"/>
    <w:rsid w:val="00813CEE"/>
    <w:rsid w:val="0081667A"/>
    <w:rsid w:val="00817E0E"/>
    <w:rsid w:val="00820103"/>
    <w:rsid w:val="0082019E"/>
    <w:rsid w:val="00820457"/>
    <w:rsid w:val="00820C17"/>
    <w:rsid w:val="00821201"/>
    <w:rsid w:val="00824F0C"/>
    <w:rsid w:val="00826831"/>
    <w:rsid w:val="0082711F"/>
    <w:rsid w:val="0082750A"/>
    <w:rsid w:val="00827629"/>
    <w:rsid w:val="00827F43"/>
    <w:rsid w:val="00831129"/>
    <w:rsid w:val="008315AE"/>
    <w:rsid w:val="00831B26"/>
    <w:rsid w:val="00831B4D"/>
    <w:rsid w:val="00831FF9"/>
    <w:rsid w:val="00833AA4"/>
    <w:rsid w:val="00834022"/>
    <w:rsid w:val="00836511"/>
    <w:rsid w:val="008379D2"/>
    <w:rsid w:val="00837C37"/>
    <w:rsid w:val="0084127E"/>
    <w:rsid w:val="00841BB7"/>
    <w:rsid w:val="00841C9A"/>
    <w:rsid w:val="00841E40"/>
    <w:rsid w:val="00842DB8"/>
    <w:rsid w:val="008430E0"/>
    <w:rsid w:val="008434B0"/>
    <w:rsid w:val="00843767"/>
    <w:rsid w:val="00844336"/>
    <w:rsid w:val="008466FC"/>
    <w:rsid w:val="00846AF9"/>
    <w:rsid w:val="008472AC"/>
    <w:rsid w:val="008501C0"/>
    <w:rsid w:val="0085280D"/>
    <w:rsid w:val="00852EA3"/>
    <w:rsid w:val="008559FA"/>
    <w:rsid w:val="00856E70"/>
    <w:rsid w:val="0085701B"/>
    <w:rsid w:val="0085787B"/>
    <w:rsid w:val="00860DBE"/>
    <w:rsid w:val="00861924"/>
    <w:rsid w:val="00862153"/>
    <w:rsid w:val="00863600"/>
    <w:rsid w:val="00863708"/>
    <w:rsid w:val="00866D74"/>
    <w:rsid w:val="00866E1E"/>
    <w:rsid w:val="00866E5F"/>
    <w:rsid w:val="008704F6"/>
    <w:rsid w:val="0087119D"/>
    <w:rsid w:val="008713DA"/>
    <w:rsid w:val="008713DF"/>
    <w:rsid w:val="008747DA"/>
    <w:rsid w:val="00874E7E"/>
    <w:rsid w:val="0087772C"/>
    <w:rsid w:val="00877E94"/>
    <w:rsid w:val="00880FC2"/>
    <w:rsid w:val="00881044"/>
    <w:rsid w:val="00881A83"/>
    <w:rsid w:val="00881C1A"/>
    <w:rsid w:val="00884E22"/>
    <w:rsid w:val="00886269"/>
    <w:rsid w:val="008862AF"/>
    <w:rsid w:val="00886AB8"/>
    <w:rsid w:val="008875DB"/>
    <w:rsid w:val="00887F4A"/>
    <w:rsid w:val="00890500"/>
    <w:rsid w:val="00891002"/>
    <w:rsid w:val="00891CAE"/>
    <w:rsid w:val="00892877"/>
    <w:rsid w:val="00894BDD"/>
    <w:rsid w:val="00894ECD"/>
    <w:rsid w:val="0089535D"/>
    <w:rsid w:val="00895BF0"/>
    <w:rsid w:val="00895E49"/>
    <w:rsid w:val="00896427"/>
    <w:rsid w:val="008966DE"/>
    <w:rsid w:val="0089772A"/>
    <w:rsid w:val="00897AFC"/>
    <w:rsid w:val="008A0F30"/>
    <w:rsid w:val="008A1575"/>
    <w:rsid w:val="008A168F"/>
    <w:rsid w:val="008A29BF"/>
    <w:rsid w:val="008A2EE5"/>
    <w:rsid w:val="008A2FDE"/>
    <w:rsid w:val="008A4761"/>
    <w:rsid w:val="008A4C16"/>
    <w:rsid w:val="008A4F8A"/>
    <w:rsid w:val="008B1C37"/>
    <w:rsid w:val="008B225A"/>
    <w:rsid w:val="008B2495"/>
    <w:rsid w:val="008B2826"/>
    <w:rsid w:val="008B360D"/>
    <w:rsid w:val="008B590B"/>
    <w:rsid w:val="008B649C"/>
    <w:rsid w:val="008B68C3"/>
    <w:rsid w:val="008B6D4D"/>
    <w:rsid w:val="008B7A29"/>
    <w:rsid w:val="008B7AC5"/>
    <w:rsid w:val="008B7FE7"/>
    <w:rsid w:val="008C0452"/>
    <w:rsid w:val="008C0DB6"/>
    <w:rsid w:val="008C1077"/>
    <w:rsid w:val="008C1153"/>
    <w:rsid w:val="008C11D9"/>
    <w:rsid w:val="008C26D2"/>
    <w:rsid w:val="008C28DA"/>
    <w:rsid w:val="008C2C64"/>
    <w:rsid w:val="008C2E90"/>
    <w:rsid w:val="008C38A1"/>
    <w:rsid w:val="008C6B5D"/>
    <w:rsid w:val="008C729A"/>
    <w:rsid w:val="008C7BD5"/>
    <w:rsid w:val="008D0461"/>
    <w:rsid w:val="008D1711"/>
    <w:rsid w:val="008D22F9"/>
    <w:rsid w:val="008D39FE"/>
    <w:rsid w:val="008D687C"/>
    <w:rsid w:val="008D7964"/>
    <w:rsid w:val="008D7C26"/>
    <w:rsid w:val="008D7D3A"/>
    <w:rsid w:val="008E0302"/>
    <w:rsid w:val="008E1C42"/>
    <w:rsid w:val="008E1D8F"/>
    <w:rsid w:val="008E2378"/>
    <w:rsid w:val="008E3619"/>
    <w:rsid w:val="008F0268"/>
    <w:rsid w:val="008F036D"/>
    <w:rsid w:val="008F06B6"/>
    <w:rsid w:val="008F28BB"/>
    <w:rsid w:val="008F3662"/>
    <w:rsid w:val="008F4525"/>
    <w:rsid w:val="008F458F"/>
    <w:rsid w:val="008F4F52"/>
    <w:rsid w:val="008F4F70"/>
    <w:rsid w:val="008F6451"/>
    <w:rsid w:val="008F73E3"/>
    <w:rsid w:val="008F786F"/>
    <w:rsid w:val="008F7B09"/>
    <w:rsid w:val="009003C3"/>
    <w:rsid w:val="009016A5"/>
    <w:rsid w:val="0090233F"/>
    <w:rsid w:val="00902CD7"/>
    <w:rsid w:val="00903898"/>
    <w:rsid w:val="00905665"/>
    <w:rsid w:val="00905FC5"/>
    <w:rsid w:val="00906D1E"/>
    <w:rsid w:val="00906F4B"/>
    <w:rsid w:val="00910187"/>
    <w:rsid w:val="00910A8F"/>
    <w:rsid w:val="009127EB"/>
    <w:rsid w:val="009147BE"/>
    <w:rsid w:val="00915EBA"/>
    <w:rsid w:val="00916EB7"/>
    <w:rsid w:val="0091731B"/>
    <w:rsid w:val="00921029"/>
    <w:rsid w:val="009212B7"/>
    <w:rsid w:val="009219F3"/>
    <w:rsid w:val="00925B1A"/>
    <w:rsid w:val="00925EFC"/>
    <w:rsid w:val="009266DE"/>
    <w:rsid w:val="00926D57"/>
    <w:rsid w:val="009271B6"/>
    <w:rsid w:val="009274E7"/>
    <w:rsid w:val="009310A7"/>
    <w:rsid w:val="00932ED0"/>
    <w:rsid w:val="0093309F"/>
    <w:rsid w:val="009334C9"/>
    <w:rsid w:val="00933525"/>
    <w:rsid w:val="0093401B"/>
    <w:rsid w:val="00936557"/>
    <w:rsid w:val="00940C55"/>
    <w:rsid w:val="00941F98"/>
    <w:rsid w:val="00942834"/>
    <w:rsid w:val="00942EF1"/>
    <w:rsid w:val="00944095"/>
    <w:rsid w:val="009442E0"/>
    <w:rsid w:val="00944557"/>
    <w:rsid w:val="00944740"/>
    <w:rsid w:val="00945075"/>
    <w:rsid w:val="00945FB2"/>
    <w:rsid w:val="009466B4"/>
    <w:rsid w:val="00947104"/>
    <w:rsid w:val="00947A6F"/>
    <w:rsid w:val="0095109F"/>
    <w:rsid w:val="00953750"/>
    <w:rsid w:val="00954426"/>
    <w:rsid w:val="00954987"/>
    <w:rsid w:val="0095696F"/>
    <w:rsid w:val="009569EE"/>
    <w:rsid w:val="009576D1"/>
    <w:rsid w:val="0096597A"/>
    <w:rsid w:val="00966584"/>
    <w:rsid w:val="00967139"/>
    <w:rsid w:val="00967B43"/>
    <w:rsid w:val="00971701"/>
    <w:rsid w:val="0097180D"/>
    <w:rsid w:val="009724CE"/>
    <w:rsid w:val="00973D84"/>
    <w:rsid w:val="00974553"/>
    <w:rsid w:val="009767C6"/>
    <w:rsid w:val="0098031E"/>
    <w:rsid w:val="0098058D"/>
    <w:rsid w:val="00980703"/>
    <w:rsid w:val="00980B19"/>
    <w:rsid w:val="00981483"/>
    <w:rsid w:val="009818DE"/>
    <w:rsid w:val="00981944"/>
    <w:rsid w:val="00981D6C"/>
    <w:rsid w:val="00982587"/>
    <w:rsid w:val="00982FA7"/>
    <w:rsid w:val="009837D7"/>
    <w:rsid w:val="00983D3D"/>
    <w:rsid w:val="00984684"/>
    <w:rsid w:val="0098505F"/>
    <w:rsid w:val="00986BCF"/>
    <w:rsid w:val="00986F08"/>
    <w:rsid w:val="00987848"/>
    <w:rsid w:val="009907E5"/>
    <w:rsid w:val="009909F4"/>
    <w:rsid w:val="0099109D"/>
    <w:rsid w:val="00991236"/>
    <w:rsid w:val="00991BBF"/>
    <w:rsid w:val="009925E9"/>
    <w:rsid w:val="009928A7"/>
    <w:rsid w:val="00993A07"/>
    <w:rsid w:val="00993EA6"/>
    <w:rsid w:val="00996AB4"/>
    <w:rsid w:val="00997A93"/>
    <w:rsid w:val="009A0919"/>
    <w:rsid w:val="009A0B81"/>
    <w:rsid w:val="009A0E2E"/>
    <w:rsid w:val="009A25E4"/>
    <w:rsid w:val="009A3A1C"/>
    <w:rsid w:val="009A5405"/>
    <w:rsid w:val="009A5582"/>
    <w:rsid w:val="009B242D"/>
    <w:rsid w:val="009B28ED"/>
    <w:rsid w:val="009B38D1"/>
    <w:rsid w:val="009B392E"/>
    <w:rsid w:val="009C30EF"/>
    <w:rsid w:val="009C5330"/>
    <w:rsid w:val="009C5799"/>
    <w:rsid w:val="009C66BA"/>
    <w:rsid w:val="009C72D1"/>
    <w:rsid w:val="009C7662"/>
    <w:rsid w:val="009D0ED9"/>
    <w:rsid w:val="009D1319"/>
    <w:rsid w:val="009D1883"/>
    <w:rsid w:val="009D27A7"/>
    <w:rsid w:val="009D3EC5"/>
    <w:rsid w:val="009D500C"/>
    <w:rsid w:val="009D6205"/>
    <w:rsid w:val="009D6E7E"/>
    <w:rsid w:val="009D7472"/>
    <w:rsid w:val="009E11BD"/>
    <w:rsid w:val="009E1B2A"/>
    <w:rsid w:val="009E2CCE"/>
    <w:rsid w:val="009E318D"/>
    <w:rsid w:val="009E3331"/>
    <w:rsid w:val="009E4FF8"/>
    <w:rsid w:val="009E6A70"/>
    <w:rsid w:val="009E6E49"/>
    <w:rsid w:val="009E78E5"/>
    <w:rsid w:val="009E7CB5"/>
    <w:rsid w:val="009F256A"/>
    <w:rsid w:val="009F2CD9"/>
    <w:rsid w:val="009F35A7"/>
    <w:rsid w:val="009F35B4"/>
    <w:rsid w:val="009F49F8"/>
    <w:rsid w:val="009F510A"/>
    <w:rsid w:val="009F5BDF"/>
    <w:rsid w:val="009F6630"/>
    <w:rsid w:val="009F67BF"/>
    <w:rsid w:val="009F7F59"/>
    <w:rsid w:val="00A01038"/>
    <w:rsid w:val="00A01AEA"/>
    <w:rsid w:val="00A03E41"/>
    <w:rsid w:val="00A073AA"/>
    <w:rsid w:val="00A12094"/>
    <w:rsid w:val="00A15818"/>
    <w:rsid w:val="00A1629B"/>
    <w:rsid w:val="00A168D2"/>
    <w:rsid w:val="00A20105"/>
    <w:rsid w:val="00A214F1"/>
    <w:rsid w:val="00A2166B"/>
    <w:rsid w:val="00A21A9E"/>
    <w:rsid w:val="00A245BE"/>
    <w:rsid w:val="00A25D39"/>
    <w:rsid w:val="00A267BD"/>
    <w:rsid w:val="00A3135C"/>
    <w:rsid w:val="00A3190D"/>
    <w:rsid w:val="00A31C8D"/>
    <w:rsid w:val="00A33858"/>
    <w:rsid w:val="00A35894"/>
    <w:rsid w:val="00A365D3"/>
    <w:rsid w:val="00A373CF"/>
    <w:rsid w:val="00A40164"/>
    <w:rsid w:val="00A41CFD"/>
    <w:rsid w:val="00A41D9E"/>
    <w:rsid w:val="00A43D1F"/>
    <w:rsid w:val="00A44EBA"/>
    <w:rsid w:val="00A460EC"/>
    <w:rsid w:val="00A4736D"/>
    <w:rsid w:val="00A4782C"/>
    <w:rsid w:val="00A505EA"/>
    <w:rsid w:val="00A50C1A"/>
    <w:rsid w:val="00A52FDF"/>
    <w:rsid w:val="00A546E0"/>
    <w:rsid w:val="00A5510C"/>
    <w:rsid w:val="00A557A7"/>
    <w:rsid w:val="00A55E0C"/>
    <w:rsid w:val="00A62217"/>
    <w:rsid w:val="00A6243E"/>
    <w:rsid w:val="00A651A9"/>
    <w:rsid w:val="00A672FF"/>
    <w:rsid w:val="00A71098"/>
    <w:rsid w:val="00A71728"/>
    <w:rsid w:val="00A71E32"/>
    <w:rsid w:val="00A723EC"/>
    <w:rsid w:val="00A72425"/>
    <w:rsid w:val="00A73247"/>
    <w:rsid w:val="00A735D2"/>
    <w:rsid w:val="00A7505E"/>
    <w:rsid w:val="00A76339"/>
    <w:rsid w:val="00A763D7"/>
    <w:rsid w:val="00A76D14"/>
    <w:rsid w:val="00A76F0D"/>
    <w:rsid w:val="00A80039"/>
    <w:rsid w:val="00A8109E"/>
    <w:rsid w:val="00A81908"/>
    <w:rsid w:val="00A8385B"/>
    <w:rsid w:val="00A85900"/>
    <w:rsid w:val="00A87C97"/>
    <w:rsid w:val="00A906AD"/>
    <w:rsid w:val="00A90919"/>
    <w:rsid w:val="00A90A04"/>
    <w:rsid w:val="00A91134"/>
    <w:rsid w:val="00A912E6"/>
    <w:rsid w:val="00A92BA2"/>
    <w:rsid w:val="00A93797"/>
    <w:rsid w:val="00A96B98"/>
    <w:rsid w:val="00A971DA"/>
    <w:rsid w:val="00AA0BDA"/>
    <w:rsid w:val="00AA0C53"/>
    <w:rsid w:val="00AA0DAA"/>
    <w:rsid w:val="00AA59F7"/>
    <w:rsid w:val="00AA5E97"/>
    <w:rsid w:val="00AA5F3A"/>
    <w:rsid w:val="00AA7EA7"/>
    <w:rsid w:val="00AB37EB"/>
    <w:rsid w:val="00AB43B3"/>
    <w:rsid w:val="00AB44B6"/>
    <w:rsid w:val="00AB5492"/>
    <w:rsid w:val="00AB6968"/>
    <w:rsid w:val="00AB7312"/>
    <w:rsid w:val="00AB7C8A"/>
    <w:rsid w:val="00AB7FB0"/>
    <w:rsid w:val="00AC18AE"/>
    <w:rsid w:val="00AC190F"/>
    <w:rsid w:val="00AC2627"/>
    <w:rsid w:val="00AC2830"/>
    <w:rsid w:val="00AC3B3C"/>
    <w:rsid w:val="00AC7337"/>
    <w:rsid w:val="00AD081F"/>
    <w:rsid w:val="00AD138B"/>
    <w:rsid w:val="00AD257B"/>
    <w:rsid w:val="00AD559A"/>
    <w:rsid w:val="00AD5E21"/>
    <w:rsid w:val="00AD705D"/>
    <w:rsid w:val="00AD77DD"/>
    <w:rsid w:val="00AE092C"/>
    <w:rsid w:val="00AE1C7D"/>
    <w:rsid w:val="00AE1E36"/>
    <w:rsid w:val="00AE2217"/>
    <w:rsid w:val="00AE2B31"/>
    <w:rsid w:val="00AE4A6C"/>
    <w:rsid w:val="00AE7624"/>
    <w:rsid w:val="00AF0D74"/>
    <w:rsid w:val="00AF1104"/>
    <w:rsid w:val="00AF1467"/>
    <w:rsid w:val="00AF1AFB"/>
    <w:rsid w:val="00AF1B67"/>
    <w:rsid w:val="00AF1E04"/>
    <w:rsid w:val="00AF3476"/>
    <w:rsid w:val="00AF3D62"/>
    <w:rsid w:val="00AF401D"/>
    <w:rsid w:val="00AF5414"/>
    <w:rsid w:val="00AF6874"/>
    <w:rsid w:val="00AF78B4"/>
    <w:rsid w:val="00B01834"/>
    <w:rsid w:val="00B02E3D"/>
    <w:rsid w:val="00B0392A"/>
    <w:rsid w:val="00B04517"/>
    <w:rsid w:val="00B05DEB"/>
    <w:rsid w:val="00B06FCF"/>
    <w:rsid w:val="00B07D0F"/>
    <w:rsid w:val="00B11668"/>
    <w:rsid w:val="00B11883"/>
    <w:rsid w:val="00B11CDC"/>
    <w:rsid w:val="00B138A1"/>
    <w:rsid w:val="00B157C8"/>
    <w:rsid w:val="00B20D0F"/>
    <w:rsid w:val="00B2265F"/>
    <w:rsid w:val="00B22E67"/>
    <w:rsid w:val="00B233EA"/>
    <w:rsid w:val="00B248A4"/>
    <w:rsid w:val="00B26DBE"/>
    <w:rsid w:val="00B278CB"/>
    <w:rsid w:val="00B27994"/>
    <w:rsid w:val="00B302B4"/>
    <w:rsid w:val="00B30491"/>
    <w:rsid w:val="00B315AE"/>
    <w:rsid w:val="00B34A57"/>
    <w:rsid w:val="00B35C7C"/>
    <w:rsid w:val="00B366F9"/>
    <w:rsid w:val="00B37B39"/>
    <w:rsid w:val="00B400C8"/>
    <w:rsid w:val="00B4025F"/>
    <w:rsid w:val="00B40BA5"/>
    <w:rsid w:val="00B4227F"/>
    <w:rsid w:val="00B42C1C"/>
    <w:rsid w:val="00B44BD8"/>
    <w:rsid w:val="00B46348"/>
    <w:rsid w:val="00B46D99"/>
    <w:rsid w:val="00B50764"/>
    <w:rsid w:val="00B522E0"/>
    <w:rsid w:val="00B528EE"/>
    <w:rsid w:val="00B529A4"/>
    <w:rsid w:val="00B52C12"/>
    <w:rsid w:val="00B52ECF"/>
    <w:rsid w:val="00B567D4"/>
    <w:rsid w:val="00B61C5A"/>
    <w:rsid w:val="00B629A3"/>
    <w:rsid w:val="00B62AD6"/>
    <w:rsid w:val="00B63390"/>
    <w:rsid w:val="00B639FA"/>
    <w:rsid w:val="00B65107"/>
    <w:rsid w:val="00B6566B"/>
    <w:rsid w:val="00B65F13"/>
    <w:rsid w:val="00B674A3"/>
    <w:rsid w:val="00B702A3"/>
    <w:rsid w:val="00B71AA8"/>
    <w:rsid w:val="00B72B7E"/>
    <w:rsid w:val="00B7489B"/>
    <w:rsid w:val="00B752F0"/>
    <w:rsid w:val="00B813E0"/>
    <w:rsid w:val="00B81E02"/>
    <w:rsid w:val="00B84022"/>
    <w:rsid w:val="00B846AB"/>
    <w:rsid w:val="00B8630C"/>
    <w:rsid w:val="00B906BC"/>
    <w:rsid w:val="00B90847"/>
    <w:rsid w:val="00B91BA2"/>
    <w:rsid w:val="00B92378"/>
    <w:rsid w:val="00B942C1"/>
    <w:rsid w:val="00B94BCA"/>
    <w:rsid w:val="00B960B9"/>
    <w:rsid w:val="00B96A9F"/>
    <w:rsid w:val="00BA1543"/>
    <w:rsid w:val="00BA1C66"/>
    <w:rsid w:val="00BA3533"/>
    <w:rsid w:val="00BA4456"/>
    <w:rsid w:val="00BA5D4E"/>
    <w:rsid w:val="00BB16DC"/>
    <w:rsid w:val="00BB1DE6"/>
    <w:rsid w:val="00BB2C36"/>
    <w:rsid w:val="00BB39A3"/>
    <w:rsid w:val="00BB429F"/>
    <w:rsid w:val="00BB53E4"/>
    <w:rsid w:val="00BB6203"/>
    <w:rsid w:val="00BB6928"/>
    <w:rsid w:val="00BB7876"/>
    <w:rsid w:val="00BC0AE8"/>
    <w:rsid w:val="00BC0FC4"/>
    <w:rsid w:val="00BC1AEA"/>
    <w:rsid w:val="00BC21CC"/>
    <w:rsid w:val="00BC31F4"/>
    <w:rsid w:val="00BC4F78"/>
    <w:rsid w:val="00BC54F5"/>
    <w:rsid w:val="00BC6100"/>
    <w:rsid w:val="00BC62C6"/>
    <w:rsid w:val="00BD11DF"/>
    <w:rsid w:val="00BD2DDE"/>
    <w:rsid w:val="00BD3744"/>
    <w:rsid w:val="00BD3760"/>
    <w:rsid w:val="00BD649A"/>
    <w:rsid w:val="00BD7FED"/>
    <w:rsid w:val="00BE075E"/>
    <w:rsid w:val="00BE16AA"/>
    <w:rsid w:val="00BE1C31"/>
    <w:rsid w:val="00BE27AF"/>
    <w:rsid w:val="00BE2E04"/>
    <w:rsid w:val="00BE4C63"/>
    <w:rsid w:val="00BF03CB"/>
    <w:rsid w:val="00BF3D67"/>
    <w:rsid w:val="00BF3F43"/>
    <w:rsid w:val="00BF4BD0"/>
    <w:rsid w:val="00BF611B"/>
    <w:rsid w:val="00BF662B"/>
    <w:rsid w:val="00C0018C"/>
    <w:rsid w:val="00C00993"/>
    <w:rsid w:val="00C0105B"/>
    <w:rsid w:val="00C02220"/>
    <w:rsid w:val="00C02A52"/>
    <w:rsid w:val="00C03FA8"/>
    <w:rsid w:val="00C10010"/>
    <w:rsid w:val="00C111CF"/>
    <w:rsid w:val="00C124A6"/>
    <w:rsid w:val="00C15054"/>
    <w:rsid w:val="00C20575"/>
    <w:rsid w:val="00C207A5"/>
    <w:rsid w:val="00C21FA0"/>
    <w:rsid w:val="00C231A0"/>
    <w:rsid w:val="00C232E4"/>
    <w:rsid w:val="00C24B6C"/>
    <w:rsid w:val="00C2585A"/>
    <w:rsid w:val="00C26B4A"/>
    <w:rsid w:val="00C307F2"/>
    <w:rsid w:val="00C30B83"/>
    <w:rsid w:val="00C32C10"/>
    <w:rsid w:val="00C32D07"/>
    <w:rsid w:val="00C32EEC"/>
    <w:rsid w:val="00C34D59"/>
    <w:rsid w:val="00C3558F"/>
    <w:rsid w:val="00C35ABB"/>
    <w:rsid w:val="00C3683B"/>
    <w:rsid w:val="00C37E05"/>
    <w:rsid w:val="00C400B8"/>
    <w:rsid w:val="00C41B28"/>
    <w:rsid w:val="00C4309C"/>
    <w:rsid w:val="00C4371B"/>
    <w:rsid w:val="00C43F47"/>
    <w:rsid w:val="00C44506"/>
    <w:rsid w:val="00C4581E"/>
    <w:rsid w:val="00C469B8"/>
    <w:rsid w:val="00C510FD"/>
    <w:rsid w:val="00C55ADE"/>
    <w:rsid w:val="00C56420"/>
    <w:rsid w:val="00C60BC3"/>
    <w:rsid w:val="00C610E8"/>
    <w:rsid w:val="00C62196"/>
    <w:rsid w:val="00C62DF1"/>
    <w:rsid w:val="00C63286"/>
    <w:rsid w:val="00C6422D"/>
    <w:rsid w:val="00C64369"/>
    <w:rsid w:val="00C64A6A"/>
    <w:rsid w:val="00C655FE"/>
    <w:rsid w:val="00C664C1"/>
    <w:rsid w:val="00C66658"/>
    <w:rsid w:val="00C6716F"/>
    <w:rsid w:val="00C6736B"/>
    <w:rsid w:val="00C71A08"/>
    <w:rsid w:val="00C73D7A"/>
    <w:rsid w:val="00C74325"/>
    <w:rsid w:val="00C7628F"/>
    <w:rsid w:val="00C76F30"/>
    <w:rsid w:val="00C82F62"/>
    <w:rsid w:val="00C83338"/>
    <w:rsid w:val="00C84FC2"/>
    <w:rsid w:val="00C86730"/>
    <w:rsid w:val="00C86CB8"/>
    <w:rsid w:val="00C9077F"/>
    <w:rsid w:val="00C90CEC"/>
    <w:rsid w:val="00C91212"/>
    <w:rsid w:val="00C91535"/>
    <w:rsid w:val="00C92663"/>
    <w:rsid w:val="00C92B84"/>
    <w:rsid w:val="00C94629"/>
    <w:rsid w:val="00C9612D"/>
    <w:rsid w:val="00C969F0"/>
    <w:rsid w:val="00C9739C"/>
    <w:rsid w:val="00C97FB3"/>
    <w:rsid w:val="00CA1472"/>
    <w:rsid w:val="00CA174B"/>
    <w:rsid w:val="00CA209D"/>
    <w:rsid w:val="00CA2495"/>
    <w:rsid w:val="00CA2FF5"/>
    <w:rsid w:val="00CA37FC"/>
    <w:rsid w:val="00CA3A2A"/>
    <w:rsid w:val="00CA3AE4"/>
    <w:rsid w:val="00CA3FB9"/>
    <w:rsid w:val="00CA4586"/>
    <w:rsid w:val="00CA5820"/>
    <w:rsid w:val="00CA7266"/>
    <w:rsid w:val="00CB2A81"/>
    <w:rsid w:val="00CB37DD"/>
    <w:rsid w:val="00CB3A2E"/>
    <w:rsid w:val="00CB453E"/>
    <w:rsid w:val="00CB45F3"/>
    <w:rsid w:val="00CB47F2"/>
    <w:rsid w:val="00CB4853"/>
    <w:rsid w:val="00CB4CD4"/>
    <w:rsid w:val="00CB4DBE"/>
    <w:rsid w:val="00CC0A0A"/>
    <w:rsid w:val="00CC102F"/>
    <w:rsid w:val="00CC3B5F"/>
    <w:rsid w:val="00CC699A"/>
    <w:rsid w:val="00CD26E2"/>
    <w:rsid w:val="00CD2F76"/>
    <w:rsid w:val="00CD320D"/>
    <w:rsid w:val="00CD3596"/>
    <w:rsid w:val="00CD3B58"/>
    <w:rsid w:val="00CD44BE"/>
    <w:rsid w:val="00CD510D"/>
    <w:rsid w:val="00CD584C"/>
    <w:rsid w:val="00CE01AD"/>
    <w:rsid w:val="00CE05CB"/>
    <w:rsid w:val="00CE100B"/>
    <w:rsid w:val="00CE36BF"/>
    <w:rsid w:val="00CE4223"/>
    <w:rsid w:val="00CE579B"/>
    <w:rsid w:val="00CE6881"/>
    <w:rsid w:val="00CE68CD"/>
    <w:rsid w:val="00CE6DA0"/>
    <w:rsid w:val="00CE723E"/>
    <w:rsid w:val="00CE7AE1"/>
    <w:rsid w:val="00CE7D50"/>
    <w:rsid w:val="00CF02B9"/>
    <w:rsid w:val="00CF2A58"/>
    <w:rsid w:val="00CF2CCD"/>
    <w:rsid w:val="00CF3AEF"/>
    <w:rsid w:val="00CF53C6"/>
    <w:rsid w:val="00CF6F33"/>
    <w:rsid w:val="00CF7A01"/>
    <w:rsid w:val="00CF7BE1"/>
    <w:rsid w:val="00D018CF"/>
    <w:rsid w:val="00D02CBE"/>
    <w:rsid w:val="00D033CD"/>
    <w:rsid w:val="00D03B6E"/>
    <w:rsid w:val="00D04F49"/>
    <w:rsid w:val="00D05719"/>
    <w:rsid w:val="00D06452"/>
    <w:rsid w:val="00D0693C"/>
    <w:rsid w:val="00D0794A"/>
    <w:rsid w:val="00D10A02"/>
    <w:rsid w:val="00D11F11"/>
    <w:rsid w:val="00D12466"/>
    <w:rsid w:val="00D15DE7"/>
    <w:rsid w:val="00D17709"/>
    <w:rsid w:val="00D17C38"/>
    <w:rsid w:val="00D20E55"/>
    <w:rsid w:val="00D217D3"/>
    <w:rsid w:val="00D21A8F"/>
    <w:rsid w:val="00D223E9"/>
    <w:rsid w:val="00D240E1"/>
    <w:rsid w:val="00D243FE"/>
    <w:rsid w:val="00D24824"/>
    <w:rsid w:val="00D24AF4"/>
    <w:rsid w:val="00D259C1"/>
    <w:rsid w:val="00D2656B"/>
    <w:rsid w:val="00D26B27"/>
    <w:rsid w:val="00D27746"/>
    <w:rsid w:val="00D2788F"/>
    <w:rsid w:val="00D32E46"/>
    <w:rsid w:val="00D339A7"/>
    <w:rsid w:val="00D33F54"/>
    <w:rsid w:val="00D348ED"/>
    <w:rsid w:val="00D357B1"/>
    <w:rsid w:val="00D37407"/>
    <w:rsid w:val="00D37438"/>
    <w:rsid w:val="00D42FC3"/>
    <w:rsid w:val="00D44313"/>
    <w:rsid w:val="00D448A7"/>
    <w:rsid w:val="00D4649D"/>
    <w:rsid w:val="00D464AF"/>
    <w:rsid w:val="00D47E68"/>
    <w:rsid w:val="00D53200"/>
    <w:rsid w:val="00D5336E"/>
    <w:rsid w:val="00D53379"/>
    <w:rsid w:val="00D5454B"/>
    <w:rsid w:val="00D56128"/>
    <w:rsid w:val="00D56686"/>
    <w:rsid w:val="00D57108"/>
    <w:rsid w:val="00D57B56"/>
    <w:rsid w:val="00D600A2"/>
    <w:rsid w:val="00D604F3"/>
    <w:rsid w:val="00D62681"/>
    <w:rsid w:val="00D63390"/>
    <w:rsid w:val="00D63ECA"/>
    <w:rsid w:val="00D70D73"/>
    <w:rsid w:val="00D73402"/>
    <w:rsid w:val="00D74109"/>
    <w:rsid w:val="00D75198"/>
    <w:rsid w:val="00D755CC"/>
    <w:rsid w:val="00D772A0"/>
    <w:rsid w:val="00D80EDE"/>
    <w:rsid w:val="00D82761"/>
    <w:rsid w:val="00D849E1"/>
    <w:rsid w:val="00D86169"/>
    <w:rsid w:val="00D9057F"/>
    <w:rsid w:val="00D929A5"/>
    <w:rsid w:val="00D95A8A"/>
    <w:rsid w:val="00D97CDC"/>
    <w:rsid w:val="00D97E8F"/>
    <w:rsid w:val="00DA00A2"/>
    <w:rsid w:val="00DA1A36"/>
    <w:rsid w:val="00DA29BC"/>
    <w:rsid w:val="00DA7556"/>
    <w:rsid w:val="00DB3CE9"/>
    <w:rsid w:val="00DB4F8B"/>
    <w:rsid w:val="00DB5344"/>
    <w:rsid w:val="00DB5BFC"/>
    <w:rsid w:val="00DB6671"/>
    <w:rsid w:val="00DB7213"/>
    <w:rsid w:val="00DB740D"/>
    <w:rsid w:val="00DC14BA"/>
    <w:rsid w:val="00DC17FA"/>
    <w:rsid w:val="00DC20B1"/>
    <w:rsid w:val="00DC2522"/>
    <w:rsid w:val="00DC3175"/>
    <w:rsid w:val="00DC4B89"/>
    <w:rsid w:val="00DC4F40"/>
    <w:rsid w:val="00DC582D"/>
    <w:rsid w:val="00DC6FC1"/>
    <w:rsid w:val="00DD07E9"/>
    <w:rsid w:val="00DD08FB"/>
    <w:rsid w:val="00DD1B19"/>
    <w:rsid w:val="00DD3ACD"/>
    <w:rsid w:val="00DD7491"/>
    <w:rsid w:val="00DD7579"/>
    <w:rsid w:val="00DE30F9"/>
    <w:rsid w:val="00DE35B0"/>
    <w:rsid w:val="00DE3A25"/>
    <w:rsid w:val="00DE3FBE"/>
    <w:rsid w:val="00DE3FF8"/>
    <w:rsid w:val="00DE49DD"/>
    <w:rsid w:val="00DE4CF8"/>
    <w:rsid w:val="00DE5380"/>
    <w:rsid w:val="00DE69C8"/>
    <w:rsid w:val="00DE6A83"/>
    <w:rsid w:val="00DF02A1"/>
    <w:rsid w:val="00DF0CBE"/>
    <w:rsid w:val="00DF282F"/>
    <w:rsid w:val="00DF2B80"/>
    <w:rsid w:val="00DF305B"/>
    <w:rsid w:val="00DF4235"/>
    <w:rsid w:val="00DF446D"/>
    <w:rsid w:val="00DF4CA3"/>
    <w:rsid w:val="00E00383"/>
    <w:rsid w:val="00E00F94"/>
    <w:rsid w:val="00E018CC"/>
    <w:rsid w:val="00E02702"/>
    <w:rsid w:val="00E02E30"/>
    <w:rsid w:val="00E02EC4"/>
    <w:rsid w:val="00E07A99"/>
    <w:rsid w:val="00E10890"/>
    <w:rsid w:val="00E12A50"/>
    <w:rsid w:val="00E14BFE"/>
    <w:rsid w:val="00E14FEF"/>
    <w:rsid w:val="00E16528"/>
    <w:rsid w:val="00E165CD"/>
    <w:rsid w:val="00E20DDB"/>
    <w:rsid w:val="00E20E08"/>
    <w:rsid w:val="00E21340"/>
    <w:rsid w:val="00E22841"/>
    <w:rsid w:val="00E24715"/>
    <w:rsid w:val="00E263DB"/>
    <w:rsid w:val="00E2780B"/>
    <w:rsid w:val="00E3067E"/>
    <w:rsid w:val="00E32C1F"/>
    <w:rsid w:val="00E36336"/>
    <w:rsid w:val="00E42460"/>
    <w:rsid w:val="00E43867"/>
    <w:rsid w:val="00E45021"/>
    <w:rsid w:val="00E4671D"/>
    <w:rsid w:val="00E469D9"/>
    <w:rsid w:val="00E479FC"/>
    <w:rsid w:val="00E50672"/>
    <w:rsid w:val="00E50BFB"/>
    <w:rsid w:val="00E517A8"/>
    <w:rsid w:val="00E51CD0"/>
    <w:rsid w:val="00E51FF3"/>
    <w:rsid w:val="00E5200F"/>
    <w:rsid w:val="00E52725"/>
    <w:rsid w:val="00E53A0C"/>
    <w:rsid w:val="00E540AF"/>
    <w:rsid w:val="00E54AB9"/>
    <w:rsid w:val="00E60212"/>
    <w:rsid w:val="00E62F19"/>
    <w:rsid w:val="00E6588B"/>
    <w:rsid w:val="00E659F6"/>
    <w:rsid w:val="00E7005A"/>
    <w:rsid w:val="00E7241D"/>
    <w:rsid w:val="00E72EAB"/>
    <w:rsid w:val="00E74529"/>
    <w:rsid w:val="00E74DD4"/>
    <w:rsid w:val="00E75569"/>
    <w:rsid w:val="00E7567B"/>
    <w:rsid w:val="00E758F2"/>
    <w:rsid w:val="00E76DBE"/>
    <w:rsid w:val="00E770DC"/>
    <w:rsid w:val="00E8034D"/>
    <w:rsid w:val="00E8114D"/>
    <w:rsid w:val="00E81952"/>
    <w:rsid w:val="00E8255F"/>
    <w:rsid w:val="00E8300C"/>
    <w:rsid w:val="00E85D25"/>
    <w:rsid w:val="00E8653E"/>
    <w:rsid w:val="00E8740A"/>
    <w:rsid w:val="00E90BF4"/>
    <w:rsid w:val="00E923A4"/>
    <w:rsid w:val="00E923FE"/>
    <w:rsid w:val="00E943D0"/>
    <w:rsid w:val="00E94F81"/>
    <w:rsid w:val="00E95388"/>
    <w:rsid w:val="00E959F0"/>
    <w:rsid w:val="00E9777D"/>
    <w:rsid w:val="00E97A18"/>
    <w:rsid w:val="00EA01EA"/>
    <w:rsid w:val="00EA0824"/>
    <w:rsid w:val="00EA1708"/>
    <w:rsid w:val="00EA1859"/>
    <w:rsid w:val="00EA1BEC"/>
    <w:rsid w:val="00EA2524"/>
    <w:rsid w:val="00EA28D2"/>
    <w:rsid w:val="00EA2A73"/>
    <w:rsid w:val="00EA2DB9"/>
    <w:rsid w:val="00EA300B"/>
    <w:rsid w:val="00EA354A"/>
    <w:rsid w:val="00EA5431"/>
    <w:rsid w:val="00EA589C"/>
    <w:rsid w:val="00EA67D0"/>
    <w:rsid w:val="00EA6908"/>
    <w:rsid w:val="00EA6FA1"/>
    <w:rsid w:val="00EA73B3"/>
    <w:rsid w:val="00EA7504"/>
    <w:rsid w:val="00EA7EDC"/>
    <w:rsid w:val="00EB0611"/>
    <w:rsid w:val="00EB1B4E"/>
    <w:rsid w:val="00EB1F03"/>
    <w:rsid w:val="00EB2A03"/>
    <w:rsid w:val="00EB7ECF"/>
    <w:rsid w:val="00EC0046"/>
    <w:rsid w:val="00EC128D"/>
    <w:rsid w:val="00EC1AF5"/>
    <w:rsid w:val="00EC512C"/>
    <w:rsid w:val="00EC76AE"/>
    <w:rsid w:val="00EC78A2"/>
    <w:rsid w:val="00ED00E3"/>
    <w:rsid w:val="00ED3E05"/>
    <w:rsid w:val="00ED42F0"/>
    <w:rsid w:val="00ED5CB7"/>
    <w:rsid w:val="00ED6B1F"/>
    <w:rsid w:val="00ED70AD"/>
    <w:rsid w:val="00ED7412"/>
    <w:rsid w:val="00ED76FF"/>
    <w:rsid w:val="00EE0314"/>
    <w:rsid w:val="00EE3C06"/>
    <w:rsid w:val="00EE45FB"/>
    <w:rsid w:val="00EE51AD"/>
    <w:rsid w:val="00EE591D"/>
    <w:rsid w:val="00EE6E1A"/>
    <w:rsid w:val="00EE75E9"/>
    <w:rsid w:val="00EE75F7"/>
    <w:rsid w:val="00EE7957"/>
    <w:rsid w:val="00EF0CDB"/>
    <w:rsid w:val="00EF15CA"/>
    <w:rsid w:val="00EF1F11"/>
    <w:rsid w:val="00EF2D6B"/>
    <w:rsid w:val="00EF4BB7"/>
    <w:rsid w:val="00EF4C7D"/>
    <w:rsid w:val="00EF5D09"/>
    <w:rsid w:val="00F00BAD"/>
    <w:rsid w:val="00F02E20"/>
    <w:rsid w:val="00F05877"/>
    <w:rsid w:val="00F12565"/>
    <w:rsid w:val="00F1257F"/>
    <w:rsid w:val="00F130B0"/>
    <w:rsid w:val="00F13C2E"/>
    <w:rsid w:val="00F13E03"/>
    <w:rsid w:val="00F14413"/>
    <w:rsid w:val="00F14B69"/>
    <w:rsid w:val="00F14C40"/>
    <w:rsid w:val="00F15FD3"/>
    <w:rsid w:val="00F16420"/>
    <w:rsid w:val="00F174DD"/>
    <w:rsid w:val="00F20689"/>
    <w:rsid w:val="00F23F97"/>
    <w:rsid w:val="00F25A64"/>
    <w:rsid w:val="00F25C43"/>
    <w:rsid w:val="00F26D3E"/>
    <w:rsid w:val="00F30ABD"/>
    <w:rsid w:val="00F31288"/>
    <w:rsid w:val="00F31D92"/>
    <w:rsid w:val="00F320AA"/>
    <w:rsid w:val="00F32C4D"/>
    <w:rsid w:val="00F33FBD"/>
    <w:rsid w:val="00F34084"/>
    <w:rsid w:val="00F3478D"/>
    <w:rsid w:val="00F3521B"/>
    <w:rsid w:val="00F3570A"/>
    <w:rsid w:val="00F4125D"/>
    <w:rsid w:val="00F42369"/>
    <w:rsid w:val="00F42870"/>
    <w:rsid w:val="00F444AD"/>
    <w:rsid w:val="00F458F2"/>
    <w:rsid w:val="00F45F10"/>
    <w:rsid w:val="00F5106F"/>
    <w:rsid w:val="00F52814"/>
    <w:rsid w:val="00F53F9F"/>
    <w:rsid w:val="00F572E1"/>
    <w:rsid w:val="00F60AE9"/>
    <w:rsid w:val="00F612C0"/>
    <w:rsid w:val="00F61C8B"/>
    <w:rsid w:val="00F61EA1"/>
    <w:rsid w:val="00F62115"/>
    <w:rsid w:val="00F62EF2"/>
    <w:rsid w:val="00F62F40"/>
    <w:rsid w:val="00F640F3"/>
    <w:rsid w:val="00F64A9F"/>
    <w:rsid w:val="00F655FA"/>
    <w:rsid w:val="00F65B88"/>
    <w:rsid w:val="00F71675"/>
    <w:rsid w:val="00F73709"/>
    <w:rsid w:val="00F73C06"/>
    <w:rsid w:val="00F74403"/>
    <w:rsid w:val="00F74518"/>
    <w:rsid w:val="00F75AD8"/>
    <w:rsid w:val="00F75F40"/>
    <w:rsid w:val="00F76058"/>
    <w:rsid w:val="00F831AA"/>
    <w:rsid w:val="00F85FF6"/>
    <w:rsid w:val="00F864C0"/>
    <w:rsid w:val="00F86732"/>
    <w:rsid w:val="00F9033C"/>
    <w:rsid w:val="00F916B0"/>
    <w:rsid w:val="00F942D1"/>
    <w:rsid w:val="00F94B31"/>
    <w:rsid w:val="00F95B35"/>
    <w:rsid w:val="00F9614F"/>
    <w:rsid w:val="00F96583"/>
    <w:rsid w:val="00FA0740"/>
    <w:rsid w:val="00FA0FEA"/>
    <w:rsid w:val="00FA2C2A"/>
    <w:rsid w:val="00FA3B73"/>
    <w:rsid w:val="00FA5382"/>
    <w:rsid w:val="00FA688A"/>
    <w:rsid w:val="00FA7ECF"/>
    <w:rsid w:val="00FB0962"/>
    <w:rsid w:val="00FB1886"/>
    <w:rsid w:val="00FB21BB"/>
    <w:rsid w:val="00FB3941"/>
    <w:rsid w:val="00FB396F"/>
    <w:rsid w:val="00FB55BA"/>
    <w:rsid w:val="00FB586F"/>
    <w:rsid w:val="00FB602F"/>
    <w:rsid w:val="00FB6630"/>
    <w:rsid w:val="00FC1FA3"/>
    <w:rsid w:val="00FC267F"/>
    <w:rsid w:val="00FC3371"/>
    <w:rsid w:val="00FC4431"/>
    <w:rsid w:val="00FC52BF"/>
    <w:rsid w:val="00FC6434"/>
    <w:rsid w:val="00FC6FA0"/>
    <w:rsid w:val="00FD1853"/>
    <w:rsid w:val="00FD3282"/>
    <w:rsid w:val="00FD32CC"/>
    <w:rsid w:val="00FD3727"/>
    <w:rsid w:val="00FD3E90"/>
    <w:rsid w:val="00FD5804"/>
    <w:rsid w:val="00FD58A6"/>
    <w:rsid w:val="00FD590E"/>
    <w:rsid w:val="00FD7CD1"/>
    <w:rsid w:val="00FE006D"/>
    <w:rsid w:val="00FE056E"/>
    <w:rsid w:val="00FE21C4"/>
    <w:rsid w:val="00FE25F3"/>
    <w:rsid w:val="00FE29EF"/>
    <w:rsid w:val="00FE3BF5"/>
    <w:rsid w:val="00FE506C"/>
    <w:rsid w:val="00FE5381"/>
    <w:rsid w:val="00FE707E"/>
    <w:rsid w:val="00FF1A36"/>
    <w:rsid w:val="00FF1F2C"/>
    <w:rsid w:val="00FF2F28"/>
    <w:rsid w:val="00FF30C3"/>
    <w:rsid w:val="00FF4162"/>
    <w:rsid w:val="00FF5C8D"/>
    <w:rsid w:val="00FF668C"/>
    <w:rsid w:val="00FF7A0C"/>
    <w:rsid w:val="07F7CF46"/>
    <w:rsid w:val="1718A066"/>
    <w:rsid w:val="1951F865"/>
    <w:rsid w:val="19B61AC4"/>
    <w:rsid w:val="1C1C0BEF"/>
    <w:rsid w:val="20933FB3"/>
    <w:rsid w:val="23DE430B"/>
    <w:rsid w:val="27BB585C"/>
    <w:rsid w:val="29ACD660"/>
    <w:rsid w:val="2F71029E"/>
    <w:rsid w:val="3B5D86D0"/>
    <w:rsid w:val="3C535653"/>
    <w:rsid w:val="3CCA9754"/>
    <w:rsid w:val="49A130F5"/>
    <w:rsid w:val="4B857D7B"/>
    <w:rsid w:val="4CC46F1B"/>
    <w:rsid w:val="4D44B568"/>
    <w:rsid w:val="4E927E7C"/>
    <w:rsid w:val="585A9473"/>
    <w:rsid w:val="631A8CF5"/>
    <w:rsid w:val="66179FF9"/>
    <w:rsid w:val="681FE5CA"/>
    <w:rsid w:val="6A62B6A4"/>
    <w:rsid w:val="713C8D02"/>
    <w:rsid w:val="78B4B2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131C4C"/>
  <w14:defaultImageDpi w14:val="330"/>
  <w15:docId w15:val="{FC2A434D-99F2-49E7-8B2B-03D44484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saOT-Light" w:eastAsiaTheme="minorHAnsi" w:hAnsi="TisaOT-Light" w:cs="TisaOT-Light"/>
        <w:szCs w:val="22"/>
        <w:lang w:val="en-US" w:eastAsia="en-US" w:bidi="ar-SA"/>
      </w:rPr>
    </w:rPrDefault>
    <w:pPrDefault>
      <w:pPr>
        <w:spacing w:after="180"/>
      </w:pPr>
    </w:pPrDefault>
  </w:docDefaults>
  <w:latentStyles w:defLockedState="0" w:defUIPriority="0" w:defSemiHidden="0" w:defUnhideWhenUsed="0" w:defQFormat="0" w:count="376">
    <w:lsdException w:name="heading 2" w:semiHidden="1"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tyle>
  <w:style w:type="paragraph" w:styleId="Heading1">
    <w:name w:val="heading 1"/>
    <w:basedOn w:val="Normal"/>
    <w:next w:val="Normal"/>
    <w:pPr>
      <w:keepNext/>
      <w:tabs>
        <w:tab w:val="left" w:pos="180"/>
      </w:tabs>
      <w:ind w:left="144" w:firstLine="158"/>
      <w:outlineLvl w:val="0"/>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pPr>
      <w:ind w:left="144" w:firstLine="4320"/>
    </w:pPr>
  </w:style>
  <w:style w:type="paragraph" w:customStyle="1" w:styleId="Letter">
    <w:name w:val="Letter"/>
    <w:basedOn w:val="Normal"/>
    <w:pPr>
      <w:spacing w:after="240"/>
      <w:ind w:left="144" w:firstLine="720"/>
    </w:pPr>
  </w:style>
  <w:style w:type="paragraph" w:styleId="Signature">
    <w:name w:val="Signature"/>
    <w:basedOn w:val="Normal"/>
    <w:next w:val="Normal"/>
    <w:pPr>
      <w:ind w:left="4320"/>
    </w:pPr>
  </w:style>
  <w:style w:type="paragraph" w:styleId="Header">
    <w:name w:val="header"/>
    <w:basedOn w:val="Normal"/>
    <w:link w:val="HeaderChar"/>
    <w:uiPriority w:val="99"/>
    <w:pPr>
      <w:tabs>
        <w:tab w:val="center" w:pos="4320"/>
        <w:tab w:val="right" w:pos="8640"/>
      </w:tabs>
      <w:ind w:left="144"/>
    </w:p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A0E2E"/>
    <w:rPr>
      <w:color w:val="0000FF"/>
      <w:u w:val="single"/>
    </w:rPr>
  </w:style>
  <w:style w:type="paragraph" w:styleId="BalloonText">
    <w:name w:val="Balloon Text"/>
    <w:basedOn w:val="Normal"/>
    <w:link w:val="BalloonTextChar"/>
    <w:rsid w:val="00D357B1"/>
    <w:rPr>
      <w:rFonts w:ascii="Lucida Grande" w:hAnsi="Lucida Grande" w:cs="Lucida Grande"/>
      <w:sz w:val="18"/>
      <w:szCs w:val="18"/>
    </w:rPr>
  </w:style>
  <w:style w:type="character" w:customStyle="1" w:styleId="BalloonTextChar">
    <w:name w:val="Balloon Text Char"/>
    <w:basedOn w:val="DefaultParagraphFont"/>
    <w:link w:val="BalloonText"/>
    <w:rsid w:val="00D357B1"/>
    <w:rPr>
      <w:rFonts w:ascii="Lucida Grande" w:hAnsi="Lucida Grande" w:cs="Lucida Grande"/>
      <w:sz w:val="18"/>
      <w:szCs w:val="18"/>
    </w:rPr>
  </w:style>
  <w:style w:type="character" w:customStyle="1" w:styleId="HeaderChar">
    <w:name w:val="Header Char"/>
    <w:basedOn w:val="DefaultParagraphFont"/>
    <w:link w:val="Header"/>
    <w:uiPriority w:val="99"/>
    <w:rsid w:val="002A3CBC"/>
    <w:rPr>
      <w:rFonts w:ascii="Arial" w:hAnsi="Arial" w:cs="Arial"/>
      <w:sz w:val="24"/>
    </w:rPr>
  </w:style>
  <w:style w:type="paragraph" w:customStyle="1" w:styleId="ACTitle">
    <w:name w:val="AC_Title"/>
    <w:basedOn w:val="Normal"/>
    <w:link w:val="ACTitleChar"/>
    <w:qFormat/>
    <w:rsid w:val="00282C2E"/>
    <w:pPr>
      <w:spacing w:after="120"/>
      <w:contextualSpacing/>
    </w:pPr>
    <w:rPr>
      <w:rFonts w:ascii="TisaOT-Medi" w:eastAsiaTheme="minorEastAsia" w:hAnsi="TisaOT-Medi" w:cs="TisaOT-Medi"/>
      <w:noProof/>
      <w:color w:val="0E335E"/>
      <w:sz w:val="36"/>
      <w:szCs w:val="36"/>
    </w:rPr>
  </w:style>
  <w:style w:type="character" w:customStyle="1" w:styleId="ACTitleChar">
    <w:name w:val="AC_Title Char"/>
    <w:basedOn w:val="DefaultParagraphFont"/>
    <w:link w:val="ACTitle"/>
    <w:rsid w:val="00282C2E"/>
    <w:rPr>
      <w:rFonts w:ascii="TisaOT-Medi" w:eastAsiaTheme="minorEastAsia" w:hAnsi="TisaOT-Medi" w:cs="TisaOT-Medi"/>
      <w:noProof/>
      <w:color w:val="0E335E"/>
      <w:sz w:val="36"/>
      <w:szCs w:val="36"/>
    </w:rPr>
  </w:style>
  <w:style w:type="paragraph" w:customStyle="1" w:styleId="ACSubtitle">
    <w:name w:val="AC_Subtitle"/>
    <w:basedOn w:val="Subtitle"/>
    <w:link w:val="ACSubtitleChar"/>
    <w:qFormat/>
    <w:rsid w:val="00282C2E"/>
    <w:pPr>
      <w:spacing w:after="60"/>
    </w:pPr>
    <w:rPr>
      <w:rFonts w:ascii="TisaOT-Medi" w:hAnsi="TisaOT-Medi" w:cs="TisaOT-Medi"/>
      <w:i w:val="0"/>
      <w:color w:val="EB4F26"/>
      <w:szCs w:val="22"/>
    </w:rPr>
  </w:style>
  <w:style w:type="character" w:customStyle="1" w:styleId="ACSubtitleChar">
    <w:name w:val="AC_Subtitle Char"/>
    <w:basedOn w:val="DefaultParagraphFont"/>
    <w:link w:val="ACSubtitle"/>
    <w:rsid w:val="00282C2E"/>
    <w:rPr>
      <w:rFonts w:ascii="TisaOT-Medi" w:eastAsiaTheme="majorEastAsia" w:hAnsi="TisaOT-Medi" w:cs="TisaOT-Medi"/>
      <w:iCs/>
      <w:color w:val="EB4F26"/>
      <w:spacing w:val="15"/>
      <w:sz w:val="24"/>
    </w:rPr>
  </w:style>
  <w:style w:type="paragraph" w:styleId="Subtitle">
    <w:name w:val="Subtitle"/>
    <w:basedOn w:val="Normal"/>
    <w:next w:val="Normal"/>
    <w:link w:val="SubtitleChar"/>
    <w:rsid w:val="00282C2E"/>
    <w:pPr>
      <w:numPr>
        <w:ilvl w:val="1"/>
      </w:numPr>
    </w:pPr>
    <w:rPr>
      <w:rFonts w:asciiTheme="majorHAnsi" w:eastAsiaTheme="majorEastAsia" w:hAnsiTheme="majorHAnsi" w:cstheme="majorBidi"/>
      <w:i/>
      <w:iCs/>
      <w:color w:val="F16531" w:themeColor="accent1"/>
      <w:spacing w:val="15"/>
      <w:szCs w:val="24"/>
    </w:rPr>
  </w:style>
  <w:style w:type="character" w:customStyle="1" w:styleId="SubtitleChar">
    <w:name w:val="Subtitle Char"/>
    <w:basedOn w:val="DefaultParagraphFont"/>
    <w:link w:val="Subtitle"/>
    <w:rsid w:val="00282C2E"/>
    <w:rPr>
      <w:rFonts w:asciiTheme="majorHAnsi" w:eastAsiaTheme="majorEastAsia" w:hAnsiTheme="majorHAnsi" w:cstheme="majorBidi"/>
      <w:i/>
      <w:iCs/>
      <w:color w:val="F16531" w:themeColor="accent1"/>
      <w:spacing w:val="15"/>
      <w:sz w:val="24"/>
      <w:szCs w:val="24"/>
    </w:rPr>
  </w:style>
  <w:style w:type="paragraph" w:customStyle="1" w:styleId="ACDate">
    <w:name w:val="AC_Date"/>
    <w:basedOn w:val="Normal"/>
    <w:link w:val="ACDateChar"/>
    <w:qFormat/>
    <w:rsid w:val="00282C2E"/>
    <w:pPr>
      <w:spacing w:after="120"/>
      <w:contextualSpacing/>
    </w:pPr>
    <w:rPr>
      <w:rFonts w:eastAsiaTheme="minorEastAsia"/>
      <w:color w:val="0E335E"/>
      <w:sz w:val="18"/>
      <w:szCs w:val="18"/>
    </w:rPr>
  </w:style>
  <w:style w:type="character" w:customStyle="1" w:styleId="ACDateChar">
    <w:name w:val="AC_Date Char"/>
    <w:basedOn w:val="DefaultParagraphFont"/>
    <w:link w:val="ACDate"/>
    <w:rsid w:val="00282C2E"/>
    <w:rPr>
      <w:rFonts w:ascii="TisaOT-Light" w:eastAsiaTheme="minorEastAsia" w:hAnsi="TisaOT-Light" w:cs="TisaOT-Light"/>
      <w:color w:val="0E335E"/>
      <w:sz w:val="18"/>
      <w:szCs w:val="18"/>
    </w:rPr>
  </w:style>
  <w:style w:type="paragraph" w:customStyle="1" w:styleId="ACSubjectHeading">
    <w:name w:val="AC_Subject_Heading"/>
    <w:basedOn w:val="Normal"/>
    <w:link w:val="ACSubjectHeadingChar"/>
    <w:qFormat/>
    <w:rsid w:val="00282C2E"/>
    <w:pPr>
      <w:spacing w:after="60"/>
      <w:contextualSpacing/>
    </w:pPr>
    <w:rPr>
      <w:rFonts w:ascii="Trade Gothic Next SR Pro" w:eastAsiaTheme="minorEastAsia" w:hAnsi="Trade Gothic Next SR Pro" w:cs="TisaOT-Medi"/>
      <w:color w:val="0E335E"/>
      <w:sz w:val="28"/>
      <w:szCs w:val="32"/>
    </w:rPr>
  </w:style>
  <w:style w:type="character" w:customStyle="1" w:styleId="ACSubjectHeadingChar">
    <w:name w:val="AC_Subject_Heading Char"/>
    <w:basedOn w:val="DefaultParagraphFont"/>
    <w:link w:val="ACSubjectHeading"/>
    <w:rsid w:val="00282C2E"/>
    <w:rPr>
      <w:rFonts w:ascii="Trade Gothic Next SR Pro" w:eastAsiaTheme="minorEastAsia" w:hAnsi="Trade Gothic Next SR Pro" w:cs="TisaOT-Medi"/>
      <w:color w:val="0E335E"/>
      <w:sz w:val="28"/>
      <w:szCs w:val="32"/>
    </w:rPr>
  </w:style>
  <w:style w:type="paragraph" w:customStyle="1" w:styleId="ACBodyText">
    <w:name w:val="AC_Body_Text"/>
    <w:basedOn w:val="Normal"/>
    <w:link w:val="ACBodyTextChar"/>
    <w:qFormat/>
    <w:rsid w:val="00282C2E"/>
    <w:rPr>
      <w:rFonts w:eastAsiaTheme="minorEastAsia"/>
    </w:rPr>
  </w:style>
  <w:style w:type="character" w:customStyle="1" w:styleId="ACBodyTextChar">
    <w:name w:val="AC_Body_Text Char"/>
    <w:basedOn w:val="DefaultParagraphFont"/>
    <w:link w:val="ACBodyText"/>
    <w:rsid w:val="00282C2E"/>
    <w:rPr>
      <w:rFonts w:ascii="TisaOT-Light" w:eastAsiaTheme="minorEastAsia" w:hAnsi="TisaOT-Light" w:cs="TisaOT-Light"/>
      <w:sz w:val="20"/>
    </w:rPr>
  </w:style>
  <w:style w:type="paragraph" w:customStyle="1" w:styleId="ACListParagraph">
    <w:name w:val="AC_List_Paragraph"/>
    <w:basedOn w:val="NormalWeb"/>
    <w:link w:val="ACListParagraphChar"/>
    <w:qFormat/>
    <w:rsid w:val="003F1AC2"/>
    <w:pPr>
      <w:numPr>
        <w:numId w:val="3"/>
      </w:numPr>
      <w:spacing w:before="100" w:beforeAutospacing="1" w:after="100" w:afterAutospacing="1" w:line="360" w:lineRule="exact"/>
    </w:pPr>
    <w:rPr>
      <w:rFonts w:ascii="TisaOT-Light" w:eastAsia="Times New Roman" w:hAnsi="TisaOT-Light" w:cs="TisaOT-Light"/>
    </w:rPr>
  </w:style>
  <w:style w:type="character" w:customStyle="1" w:styleId="ACListParagraphChar">
    <w:name w:val="AC_List_Paragraph Char"/>
    <w:basedOn w:val="DefaultParagraphFont"/>
    <w:link w:val="ACListParagraph"/>
    <w:rsid w:val="003F1AC2"/>
    <w:rPr>
      <w:rFonts w:eastAsia="Times New Roman"/>
      <w:szCs w:val="24"/>
    </w:rPr>
  </w:style>
  <w:style w:type="paragraph" w:styleId="NormalWeb">
    <w:name w:val="Normal (Web)"/>
    <w:basedOn w:val="Normal"/>
    <w:rsid w:val="00282C2E"/>
    <w:rPr>
      <w:rFonts w:ascii="Times New Roman" w:hAnsi="Times New Roman" w:cs="Times New Roman"/>
      <w:szCs w:val="24"/>
    </w:rPr>
  </w:style>
  <w:style w:type="paragraph" w:customStyle="1" w:styleId="ACSubhead">
    <w:name w:val="AC_Subhead"/>
    <w:basedOn w:val="Subtitle"/>
    <w:link w:val="ACSubheadChar"/>
    <w:qFormat/>
    <w:rsid w:val="00282C2E"/>
    <w:pPr>
      <w:spacing w:after="60"/>
    </w:pPr>
    <w:rPr>
      <w:rFonts w:ascii="TisaOT-Medi" w:hAnsi="TisaOT-Medi"/>
      <w:i w:val="0"/>
      <w:color w:val="EB4F26"/>
    </w:rPr>
  </w:style>
  <w:style w:type="character" w:customStyle="1" w:styleId="ACSubheadChar">
    <w:name w:val="AC_Subhead Char"/>
    <w:basedOn w:val="DefaultParagraphFont"/>
    <w:link w:val="ACSubhead"/>
    <w:rsid w:val="00282C2E"/>
    <w:rPr>
      <w:rFonts w:ascii="TisaOT-Medi" w:eastAsiaTheme="majorEastAsia" w:hAnsi="TisaOT-Medi" w:cstheme="majorBidi"/>
      <w:iCs/>
      <w:color w:val="EB4F26"/>
      <w:spacing w:val="15"/>
      <w:sz w:val="24"/>
      <w:szCs w:val="24"/>
    </w:rPr>
  </w:style>
  <w:style w:type="paragraph" w:customStyle="1" w:styleId="ACChartHeading">
    <w:name w:val="AC_Chart_Heading"/>
    <w:basedOn w:val="Normal"/>
    <w:link w:val="ACChartHeadingChar"/>
    <w:qFormat/>
    <w:rsid w:val="003F1AC2"/>
    <w:pPr>
      <w:keepNext/>
      <w:keepLines/>
      <w:contextualSpacing/>
      <w:jc w:val="center"/>
    </w:pPr>
    <w:rPr>
      <w:rFonts w:ascii="Trade Gothic Next SR Pro" w:eastAsiaTheme="minorEastAsia" w:hAnsi="Trade Gothic Next SR Pro"/>
      <w:color w:val="0D0D0D" w:themeColor="text1" w:themeTint="F2"/>
      <w:szCs w:val="24"/>
    </w:rPr>
  </w:style>
  <w:style w:type="character" w:customStyle="1" w:styleId="ACChartHeadingChar">
    <w:name w:val="AC_Chart_Heading Char"/>
    <w:basedOn w:val="DefaultParagraphFont"/>
    <w:link w:val="ACChartHeading"/>
    <w:rsid w:val="003F1AC2"/>
    <w:rPr>
      <w:rFonts w:ascii="Trade Gothic Next SR Pro" w:eastAsiaTheme="minorEastAsia" w:hAnsi="Trade Gothic Next SR Pro"/>
      <w:color w:val="0D0D0D" w:themeColor="text1" w:themeTint="F2"/>
      <w:szCs w:val="24"/>
    </w:rPr>
  </w:style>
  <w:style w:type="paragraph" w:customStyle="1" w:styleId="ACAddress">
    <w:name w:val="AC_Address"/>
    <w:basedOn w:val="ACBodyText"/>
    <w:link w:val="ACAddressChar"/>
    <w:qFormat/>
    <w:rsid w:val="00491214"/>
    <w:pPr>
      <w:contextualSpacing/>
    </w:pPr>
  </w:style>
  <w:style w:type="character" w:customStyle="1" w:styleId="FooterChar">
    <w:name w:val="Footer Char"/>
    <w:basedOn w:val="DefaultParagraphFont"/>
    <w:link w:val="Footer"/>
    <w:uiPriority w:val="99"/>
    <w:rsid w:val="00307C30"/>
  </w:style>
  <w:style w:type="character" w:customStyle="1" w:styleId="ACAddressChar">
    <w:name w:val="AC_Address Char"/>
    <w:basedOn w:val="ACBodyTextChar"/>
    <w:link w:val="ACAddress"/>
    <w:rsid w:val="00491214"/>
    <w:rPr>
      <w:rFonts w:ascii="TisaOT-Light" w:eastAsiaTheme="minorEastAsia" w:hAnsi="TisaOT-Light" w:cs="TisaOT-Light"/>
      <w:sz w:val="20"/>
    </w:rPr>
  </w:style>
  <w:style w:type="character" w:styleId="PlaceholderText">
    <w:name w:val="Placeholder Text"/>
    <w:basedOn w:val="DefaultParagraphFont"/>
    <w:uiPriority w:val="99"/>
    <w:semiHidden/>
    <w:rsid w:val="00D57108"/>
    <w:rPr>
      <w:color w:val="808080"/>
    </w:rPr>
  </w:style>
  <w:style w:type="character" w:styleId="UnresolvedMention">
    <w:name w:val="Unresolved Mention"/>
    <w:basedOn w:val="DefaultParagraphFont"/>
    <w:uiPriority w:val="99"/>
    <w:semiHidden/>
    <w:unhideWhenUsed/>
    <w:rsid w:val="00C307F2"/>
    <w:rPr>
      <w:color w:val="605E5C"/>
      <w:shd w:val="clear" w:color="auto" w:fill="E1DFDD"/>
    </w:rPr>
  </w:style>
  <w:style w:type="paragraph" w:customStyle="1" w:styleId="Default">
    <w:name w:val="Default"/>
    <w:rsid w:val="00735D3A"/>
    <w:pPr>
      <w:autoSpaceDE w:val="0"/>
      <w:autoSpaceDN w:val="0"/>
      <w:adjustRightInd w:val="0"/>
      <w:spacing w:after="0"/>
    </w:pPr>
    <w:rPr>
      <w:rFonts w:ascii="Calibri" w:hAnsi="Calibri" w:cs="Calibri"/>
      <w:color w:val="000000"/>
      <w:sz w:val="24"/>
      <w:szCs w:val="24"/>
    </w:rPr>
  </w:style>
  <w:style w:type="paragraph" w:customStyle="1" w:styleId="paragraph">
    <w:name w:val="paragraph"/>
    <w:basedOn w:val="Normal"/>
    <w:rsid w:val="00170C58"/>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58"/>
  </w:style>
  <w:style w:type="character" w:styleId="CommentReference">
    <w:name w:val="annotation reference"/>
    <w:basedOn w:val="DefaultParagraphFont"/>
    <w:semiHidden/>
    <w:unhideWhenUsed/>
    <w:rsid w:val="00170C58"/>
    <w:rPr>
      <w:sz w:val="16"/>
      <w:szCs w:val="16"/>
    </w:rPr>
  </w:style>
  <w:style w:type="paragraph" w:styleId="CommentText">
    <w:name w:val="annotation text"/>
    <w:basedOn w:val="Normal"/>
    <w:link w:val="CommentTextChar"/>
    <w:unhideWhenUsed/>
    <w:rsid w:val="00170C58"/>
    <w:rPr>
      <w:szCs w:val="20"/>
    </w:rPr>
  </w:style>
  <w:style w:type="character" w:customStyle="1" w:styleId="CommentTextChar">
    <w:name w:val="Comment Text Char"/>
    <w:basedOn w:val="DefaultParagraphFont"/>
    <w:link w:val="CommentText"/>
    <w:rsid w:val="00170C58"/>
    <w:rPr>
      <w:szCs w:val="20"/>
    </w:rPr>
  </w:style>
  <w:style w:type="character" w:styleId="Mention">
    <w:name w:val="Mention"/>
    <w:basedOn w:val="DefaultParagraphFont"/>
    <w:uiPriority w:val="99"/>
    <w:unhideWhenUsed/>
    <w:rsid w:val="00170C58"/>
    <w:rPr>
      <w:color w:val="2B579A"/>
      <w:shd w:val="clear" w:color="auto" w:fill="E1DFDD"/>
    </w:rPr>
  </w:style>
  <w:style w:type="character" w:customStyle="1" w:styleId="ui-provider">
    <w:name w:val="ui-provider"/>
    <w:basedOn w:val="DefaultParagraphFont"/>
    <w:rsid w:val="00170C58"/>
  </w:style>
  <w:style w:type="paragraph" w:styleId="CommentSubject">
    <w:name w:val="annotation subject"/>
    <w:basedOn w:val="CommentText"/>
    <w:next w:val="CommentText"/>
    <w:link w:val="CommentSubjectChar"/>
    <w:semiHidden/>
    <w:unhideWhenUsed/>
    <w:rsid w:val="00D448A7"/>
    <w:rPr>
      <w:b/>
      <w:bCs/>
    </w:rPr>
  </w:style>
  <w:style w:type="character" w:customStyle="1" w:styleId="CommentSubjectChar">
    <w:name w:val="Comment Subject Char"/>
    <w:basedOn w:val="CommentTextChar"/>
    <w:link w:val="CommentSubject"/>
    <w:semiHidden/>
    <w:rsid w:val="00D448A7"/>
    <w:rPr>
      <w:b/>
      <w:bCs/>
      <w:szCs w:val="20"/>
    </w:rPr>
  </w:style>
  <w:style w:type="paragraph" w:styleId="ListParagraph">
    <w:name w:val="List Paragraph"/>
    <w:basedOn w:val="Normal"/>
    <w:uiPriority w:val="34"/>
    <w:rsid w:val="00FF7A0C"/>
    <w:pPr>
      <w:ind w:left="720"/>
      <w:contextualSpacing/>
    </w:pPr>
  </w:style>
  <w:style w:type="paragraph" w:styleId="Revision">
    <w:name w:val="Revision"/>
    <w:hidden/>
    <w:uiPriority w:val="99"/>
    <w:semiHidden/>
    <w:rsid w:val="00C124A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74090">
      <w:bodyDiv w:val="1"/>
      <w:marLeft w:val="0"/>
      <w:marRight w:val="0"/>
      <w:marTop w:val="0"/>
      <w:marBottom w:val="0"/>
      <w:divBdr>
        <w:top w:val="none" w:sz="0" w:space="0" w:color="auto"/>
        <w:left w:val="none" w:sz="0" w:space="0" w:color="auto"/>
        <w:bottom w:val="none" w:sz="0" w:space="0" w:color="auto"/>
        <w:right w:val="none" w:sz="0" w:space="0" w:color="auto"/>
      </w:divBdr>
    </w:div>
    <w:div w:id="247279079">
      <w:bodyDiv w:val="1"/>
      <w:marLeft w:val="0"/>
      <w:marRight w:val="0"/>
      <w:marTop w:val="0"/>
      <w:marBottom w:val="0"/>
      <w:divBdr>
        <w:top w:val="none" w:sz="0" w:space="0" w:color="auto"/>
        <w:left w:val="none" w:sz="0" w:space="0" w:color="auto"/>
        <w:bottom w:val="none" w:sz="0" w:space="0" w:color="auto"/>
        <w:right w:val="none" w:sz="0" w:space="0" w:color="auto"/>
      </w:divBdr>
    </w:div>
    <w:div w:id="1034842022">
      <w:bodyDiv w:val="1"/>
      <w:marLeft w:val="0"/>
      <w:marRight w:val="0"/>
      <w:marTop w:val="0"/>
      <w:marBottom w:val="0"/>
      <w:divBdr>
        <w:top w:val="none" w:sz="0" w:space="0" w:color="auto"/>
        <w:left w:val="none" w:sz="0" w:space="0" w:color="auto"/>
        <w:bottom w:val="none" w:sz="0" w:space="0" w:color="auto"/>
        <w:right w:val="none" w:sz="0" w:space="0" w:color="auto"/>
      </w:divBdr>
    </w:div>
    <w:div w:id="1896240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adiacenter.wpenginepowered.com/wp-content/uploads/2024/11/AC_CATF_EnergyShift_Report_2024_R10-1.pdf" TargetMode="External"/><Relationship Id="rId18" Type="http://schemas.openxmlformats.org/officeDocument/2006/relationships/hyperlink" Target="https://energyinstitute.jhu.edu/northeast-states-collaborative-on-interregional-transmission/"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brattle.com/wp-content/uploads/2025/02/New-Yorks-Grid-Flexibility-Potential-Volume-I-Summary-Report.pdf" TargetMode="External"/><Relationship Id="rId7" Type="http://schemas.openxmlformats.org/officeDocument/2006/relationships/settings" Target="settings.xml"/><Relationship Id="rId12" Type="http://schemas.openxmlformats.org/officeDocument/2006/relationships/hyperlink" Target="https://acadiacenter.org/resource/why-new-england-must-say-no-to-new-gas-pipelines/" TargetMode="External"/><Relationship Id="rId17" Type="http://schemas.openxmlformats.org/officeDocument/2006/relationships/hyperlink" Target="https://www.maine.gov/mpuc/regulated-utilities/electricity/rfp-awarded-contracts/2025-0036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so-ne.com/system-planning/transmission-planning/longer-term-transmission-studies" TargetMode="External"/><Relationship Id="rId20" Type="http://schemas.openxmlformats.org/officeDocument/2006/relationships/hyperlink" Target="https://www.iso-ne.com/system-planning/system-plans-studies/cel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news/governor-healey-takes-action-to-bring-in-10-gw-of-new-energy-save-10-billion-and-promote-energy-independence" TargetMode="External"/><Relationship Id="rId24" Type="http://schemas.openxmlformats.org/officeDocument/2006/relationships/hyperlink" Target="https://acadiacenter.org/resource/fact-sheet-collection-energy-cost-driver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barrfdn.issuelab.org/resource/making-the-affordability-case-for-clean-energy.html"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mass.gov/news/massachusetts-and-nova-scotia-launch-collaboration-to-advance-offshore-wind"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adiacenter.org/resource/why-new-england-must-say-no-to-new-gas-pipelines/" TargetMode="External"/><Relationship Id="rId22" Type="http://schemas.openxmlformats.org/officeDocument/2006/relationships/hyperlink" Target="https://www.iso-ne.com/static-assets/documents/100008/2024_02_14_pac_2050_transmission_study_final.pdf"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jdickerson@acadiacenter.org" TargetMode="External"/><Relationship Id="rId1" Type="http://schemas.openxmlformats.org/officeDocument/2006/relationships/hyperlink" Target="mailto:kmurray@acadiacenter.org" TargetMode="External"/><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ieDickerson\AppData\Roaming\Microsoft\Templates\Acadia%20Center%20Boston%20Letterhead%20Template%202024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6F556ACBEC434FA928848680752CD4"/>
        <w:category>
          <w:name w:val="General"/>
          <w:gallery w:val="placeholder"/>
        </w:category>
        <w:types>
          <w:type w:val="bbPlcHdr"/>
        </w:types>
        <w:behaviors>
          <w:behavior w:val="content"/>
        </w:behaviors>
        <w:guid w:val="{D70119CF-EC32-4233-AB51-FA003EA39F96}"/>
      </w:docPartPr>
      <w:docPartBody>
        <w:p w:rsidR="003E41CB" w:rsidRDefault="00937E17" w:rsidP="00937E17">
          <w:pPr>
            <w:pStyle w:val="6B6F556ACBEC434FA928848680752CD4"/>
          </w:pPr>
          <w:r w:rsidRPr="00797E14">
            <w:rPr>
              <w:rStyle w:val="PlaceholderText"/>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saOT-Light">
    <w:charset w:val="00"/>
    <w:family w:val="modern"/>
    <w:notTrueType/>
    <w:pitch w:val="variable"/>
    <w:sig w:usb0="800000EF" w:usb1="4000205B" w:usb2="00000008"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isaOT-Medi">
    <w:charset w:val="00"/>
    <w:family w:val="modern"/>
    <w:notTrueType/>
    <w:pitch w:val="variable"/>
    <w:sig w:usb0="800000EF" w:usb1="4000205B" w:usb2="00000008"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rade Gothic Next SR Pro">
    <w:charset w:val="00"/>
    <w:family w:val="swiss"/>
    <w:notTrueType/>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TisaPro">
    <w:altName w:val="Calibri"/>
    <w:panose1 w:val="00000000000000000000"/>
    <w:charset w:val="00"/>
    <w:family w:val="modern"/>
    <w:notTrueType/>
    <w:pitch w:val="variable"/>
    <w:sig w:usb0="A00000FF" w:usb1="4000205B" w:usb2="00000008" w:usb3="00000000" w:csb0="00000093"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1C5"/>
    <w:rsid w:val="000B210C"/>
    <w:rsid w:val="0017403C"/>
    <w:rsid w:val="00344CCF"/>
    <w:rsid w:val="0039682C"/>
    <w:rsid w:val="003E41CB"/>
    <w:rsid w:val="004821C5"/>
    <w:rsid w:val="005019C2"/>
    <w:rsid w:val="005D4C80"/>
    <w:rsid w:val="006C450E"/>
    <w:rsid w:val="006E1A71"/>
    <w:rsid w:val="007273FB"/>
    <w:rsid w:val="0076210C"/>
    <w:rsid w:val="008A3669"/>
    <w:rsid w:val="008C11D9"/>
    <w:rsid w:val="0093309F"/>
    <w:rsid w:val="00937E17"/>
    <w:rsid w:val="00A3190D"/>
    <w:rsid w:val="00BB2C36"/>
    <w:rsid w:val="00C43F47"/>
    <w:rsid w:val="00D25663"/>
    <w:rsid w:val="00EE536F"/>
    <w:rsid w:val="00F35D77"/>
    <w:rsid w:val="00F744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7EFA3C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7E17"/>
    <w:rPr>
      <w:color w:val="808080"/>
    </w:rPr>
  </w:style>
  <w:style w:type="paragraph" w:customStyle="1" w:styleId="6B6F556ACBEC434FA928848680752CD4">
    <w:name w:val="6B6F556ACBEC434FA928848680752CD4"/>
    <w:rsid w:val="00937E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adia Center">
      <a:dk1>
        <a:sysClr val="windowText" lastClr="000000"/>
      </a:dk1>
      <a:lt1>
        <a:sysClr val="window" lastClr="FFFFFF"/>
      </a:lt1>
      <a:dk2>
        <a:srgbClr val="004271"/>
      </a:dk2>
      <a:lt2>
        <a:srgbClr val="EEECE1"/>
      </a:lt2>
      <a:accent1>
        <a:srgbClr val="F16531"/>
      </a:accent1>
      <a:accent2>
        <a:srgbClr val="F5E478"/>
      </a:accent2>
      <a:accent3>
        <a:srgbClr val="7BD95B"/>
      </a:accent3>
      <a:accent4>
        <a:srgbClr val="5BD9AF"/>
      </a:accent4>
      <a:accent5>
        <a:srgbClr val="B8E4FA"/>
      </a:accent5>
      <a:accent6>
        <a:srgbClr val="22A8E1"/>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eb511630-1bc3-48ab-9888-09bf1e9e0040" xsi:nil="true"/>
    <TaxCatchAll xmlns="4ea4cbd6-3c2b-42d3-93d8-cc4c0ac62509" xsi:nil="true"/>
    <lcf76f155ced4ddcb4097134ff3c332f xmlns="eb511630-1bc3-48ab-9888-09bf1e9e0040">
      <Terms xmlns="http://schemas.microsoft.com/office/infopath/2007/PartnerControls"/>
    </lcf76f155ced4ddcb4097134ff3c332f>
    <SharedWithUsers xmlns="1b22e6a2-5dc9-4df9-92fc-f29f00cdae5b">
      <UserInfo>
        <DisplayName>Daniel Sosland</DisplayName>
        <AccountId>28</AccountId>
        <AccountType/>
      </UserInfo>
      <UserInfo>
        <DisplayName>Chelsea Sprague</DisplayName>
        <AccountId>187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ord" ma:contentTypeID="0x01010044C6C6CB89510441B73A22F31584DBB500AA2E53163EEBC545AB9959B12A481DEB" ma:contentTypeVersion="20" ma:contentTypeDescription="A blank Microsoft Word document." ma:contentTypeScope="" ma:versionID="18b7364996c8f67b57624cb0c32a014e">
  <xsd:schema xmlns:xsd="http://www.w3.org/2001/XMLSchema" xmlns:xs="http://www.w3.org/2001/XMLSchema" xmlns:p="http://schemas.microsoft.com/office/2006/metadata/properties" xmlns:ns2="1b22e6a2-5dc9-4df9-92fc-f29f00cdae5b" xmlns:ns3="eb511630-1bc3-48ab-9888-09bf1e9e0040" xmlns:ns4="4ea4cbd6-3c2b-42d3-93d8-cc4c0ac62509" targetNamespace="http://schemas.microsoft.com/office/2006/metadata/properties" ma:root="true" ma:fieldsID="dd15dbc28329e9348c0c643fc79f3c0f" ns2:_="" ns3:_="" ns4:_="">
    <xsd:import namespace="1b22e6a2-5dc9-4df9-92fc-f29f00cdae5b"/>
    <xsd:import namespace="eb511630-1bc3-48ab-9888-09bf1e9e0040"/>
    <xsd:import namespace="4ea4cbd6-3c2b-42d3-93d8-cc4c0ac625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Note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2e6a2-5dc9-4df9-92fc-f29f00cdae5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511630-1bc3-48ab-9888-09bf1e9e004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9c6b08-daf7-481b-9cde-1aefe78de315"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a4cbd6-3c2b-42d3-93d8-cc4c0ac6250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c7b387e-e1cb-44bf-a71d-42c8fbcb7c1f}" ma:internalName="TaxCatchAll" ma:showField="CatchAllData" ma:web="4ea4cbd6-3c2b-42d3-93d8-cc4c0ac625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20BB09-D10B-4441-A8A8-A8EDAE2E0CC5}">
  <ds:schemaRefs>
    <ds:schemaRef ds:uri="http://schemas.microsoft.com/office/2006/metadata/properties"/>
    <ds:schemaRef ds:uri="http://schemas.microsoft.com/office/infopath/2007/PartnerControls"/>
    <ds:schemaRef ds:uri="eb511630-1bc3-48ab-9888-09bf1e9e0040"/>
    <ds:schemaRef ds:uri="4ea4cbd6-3c2b-42d3-93d8-cc4c0ac62509"/>
    <ds:schemaRef ds:uri="1b22e6a2-5dc9-4df9-92fc-f29f00cdae5b"/>
  </ds:schemaRefs>
</ds:datastoreItem>
</file>

<file path=customXml/itemProps2.xml><?xml version="1.0" encoding="utf-8"?>
<ds:datastoreItem xmlns:ds="http://schemas.openxmlformats.org/officeDocument/2006/customXml" ds:itemID="{66E8708A-6348-4E5B-BAB1-C7021183D973}">
  <ds:schemaRefs>
    <ds:schemaRef ds:uri="http://schemas.openxmlformats.org/officeDocument/2006/bibliography"/>
  </ds:schemaRefs>
</ds:datastoreItem>
</file>

<file path=customXml/itemProps3.xml><?xml version="1.0" encoding="utf-8"?>
<ds:datastoreItem xmlns:ds="http://schemas.openxmlformats.org/officeDocument/2006/customXml" ds:itemID="{CEABDEA8-C2C3-4672-88EA-93D7C1D9B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2e6a2-5dc9-4df9-92fc-f29f00cdae5b"/>
    <ds:schemaRef ds:uri="eb511630-1bc3-48ab-9888-09bf1e9e0040"/>
    <ds:schemaRef ds:uri="4ea4cbd6-3c2b-42d3-93d8-cc4c0ac62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B033D1-38BB-4DE9-A074-AAA41068C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Acadia%20Center%20Boston%20Letterhead%20Template%202024F.dotx</Template>
  <TotalTime>4284</TotalTime>
  <Pages>1</Pages>
  <Words>1915</Words>
  <Characters>10922</Characters>
  <Application>Microsoft Office Word</Application>
  <DocSecurity>4</DocSecurity>
  <Lines>91</Lines>
  <Paragraphs>25</Paragraphs>
  <ScaleCrop>false</ScaleCrop>
  <Company>Brown Rudnick Freed &amp; Gesmer</Company>
  <LinksUpToDate>false</LinksUpToDate>
  <CharactersWithSpaces>12812</CharactersWithSpaces>
  <SharedDoc>false</SharedDoc>
  <HLinks>
    <vt:vector size="90" baseType="variant">
      <vt:variant>
        <vt:i4>917514</vt:i4>
      </vt:variant>
      <vt:variant>
        <vt:i4>36</vt:i4>
      </vt:variant>
      <vt:variant>
        <vt:i4>0</vt:i4>
      </vt:variant>
      <vt:variant>
        <vt:i4>5</vt:i4>
      </vt:variant>
      <vt:variant>
        <vt:lpwstr>https://acadiacenter.org/resource/fact-sheet-collection-energy-cost-drivers/</vt:lpwstr>
      </vt:variant>
      <vt:variant>
        <vt:lpwstr/>
      </vt:variant>
      <vt:variant>
        <vt:i4>6029399</vt:i4>
      </vt:variant>
      <vt:variant>
        <vt:i4>33</vt:i4>
      </vt:variant>
      <vt:variant>
        <vt:i4>0</vt:i4>
      </vt:variant>
      <vt:variant>
        <vt:i4>5</vt:i4>
      </vt:variant>
      <vt:variant>
        <vt:lpwstr>https://barrfdn.issuelab.org/resource/making-the-affordability-case-for-clean-energy.html</vt:lpwstr>
      </vt:variant>
      <vt:variant>
        <vt:lpwstr/>
      </vt:variant>
      <vt:variant>
        <vt:i4>3866636</vt:i4>
      </vt:variant>
      <vt:variant>
        <vt:i4>30</vt:i4>
      </vt:variant>
      <vt:variant>
        <vt:i4>0</vt:i4>
      </vt:variant>
      <vt:variant>
        <vt:i4>5</vt:i4>
      </vt:variant>
      <vt:variant>
        <vt:lpwstr>https://www.iso-ne.com/static-assets/documents/100008/2024_02_14_pac_2050_transmission_study_final.pdf</vt:lpwstr>
      </vt:variant>
      <vt:variant>
        <vt:lpwstr/>
      </vt:variant>
      <vt:variant>
        <vt:i4>3080231</vt:i4>
      </vt:variant>
      <vt:variant>
        <vt:i4>27</vt:i4>
      </vt:variant>
      <vt:variant>
        <vt:i4>0</vt:i4>
      </vt:variant>
      <vt:variant>
        <vt:i4>5</vt:i4>
      </vt:variant>
      <vt:variant>
        <vt:lpwstr>https://www.brattle.com/wp-content/uploads/2025/02/New-Yorks-Grid-Flexibility-Potential-Volume-I-Summary-Report.pdf</vt:lpwstr>
      </vt:variant>
      <vt:variant>
        <vt:lpwstr/>
      </vt:variant>
      <vt:variant>
        <vt:i4>1376265</vt:i4>
      </vt:variant>
      <vt:variant>
        <vt:i4>24</vt:i4>
      </vt:variant>
      <vt:variant>
        <vt:i4>0</vt:i4>
      </vt:variant>
      <vt:variant>
        <vt:i4>5</vt:i4>
      </vt:variant>
      <vt:variant>
        <vt:lpwstr>https://www.iso-ne.com/system-planning/system-plans-studies/celt</vt:lpwstr>
      </vt:variant>
      <vt:variant>
        <vt:lpwstr/>
      </vt:variant>
      <vt:variant>
        <vt:i4>4456533</vt:i4>
      </vt:variant>
      <vt:variant>
        <vt:i4>21</vt:i4>
      </vt:variant>
      <vt:variant>
        <vt:i4>0</vt:i4>
      </vt:variant>
      <vt:variant>
        <vt:i4>5</vt:i4>
      </vt:variant>
      <vt:variant>
        <vt:lpwstr>https://www.mass.gov/news/massachusetts-and-nova-scotia-launch-collaboration-to-advance-offshore-wind</vt:lpwstr>
      </vt:variant>
      <vt:variant>
        <vt:lpwstr/>
      </vt:variant>
      <vt:variant>
        <vt:i4>524368</vt:i4>
      </vt:variant>
      <vt:variant>
        <vt:i4>18</vt:i4>
      </vt:variant>
      <vt:variant>
        <vt:i4>0</vt:i4>
      </vt:variant>
      <vt:variant>
        <vt:i4>5</vt:i4>
      </vt:variant>
      <vt:variant>
        <vt:lpwstr>https://energyinstitute.jhu.edu/northeast-states-collaborative-on-interregional-transmission/</vt:lpwstr>
      </vt:variant>
      <vt:variant>
        <vt:lpwstr/>
      </vt:variant>
      <vt:variant>
        <vt:i4>7798908</vt:i4>
      </vt:variant>
      <vt:variant>
        <vt:i4>15</vt:i4>
      </vt:variant>
      <vt:variant>
        <vt:i4>0</vt:i4>
      </vt:variant>
      <vt:variant>
        <vt:i4>5</vt:i4>
      </vt:variant>
      <vt:variant>
        <vt:lpwstr>https://www.maine.gov/mpuc/regulated-utilities/electricity/rfp-awarded-contracts/2025-00361</vt:lpwstr>
      </vt:variant>
      <vt:variant>
        <vt:lpwstr/>
      </vt:variant>
      <vt:variant>
        <vt:i4>131096</vt:i4>
      </vt:variant>
      <vt:variant>
        <vt:i4>12</vt:i4>
      </vt:variant>
      <vt:variant>
        <vt:i4>0</vt:i4>
      </vt:variant>
      <vt:variant>
        <vt:i4>5</vt:i4>
      </vt:variant>
      <vt:variant>
        <vt:lpwstr>https://www.iso-ne.com/system-planning/transmission-planning/longer-term-transmission-studies</vt:lpwstr>
      </vt:variant>
      <vt:variant>
        <vt:lpwstr/>
      </vt:variant>
      <vt:variant>
        <vt:i4>3342450</vt:i4>
      </vt:variant>
      <vt:variant>
        <vt:i4>9</vt:i4>
      </vt:variant>
      <vt:variant>
        <vt:i4>0</vt:i4>
      </vt:variant>
      <vt:variant>
        <vt:i4>5</vt:i4>
      </vt:variant>
      <vt:variant>
        <vt:lpwstr>https://acadiacenter.org/resource/why-new-england-must-say-no-to-new-gas-pipelines/</vt:lpwstr>
      </vt:variant>
      <vt:variant>
        <vt:lpwstr/>
      </vt:variant>
      <vt:variant>
        <vt:i4>3538973</vt:i4>
      </vt:variant>
      <vt:variant>
        <vt:i4>6</vt:i4>
      </vt:variant>
      <vt:variant>
        <vt:i4>0</vt:i4>
      </vt:variant>
      <vt:variant>
        <vt:i4>5</vt:i4>
      </vt:variant>
      <vt:variant>
        <vt:lpwstr>https://acadiacenter.wpenginepowered.com/wp-content/uploads/2024/11/AC_CATF_EnergyShift_Report_2024_R10-1.pdf</vt:lpwstr>
      </vt:variant>
      <vt:variant>
        <vt:lpwstr/>
      </vt:variant>
      <vt:variant>
        <vt:i4>3342450</vt:i4>
      </vt:variant>
      <vt:variant>
        <vt:i4>3</vt:i4>
      </vt:variant>
      <vt:variant>
        <vt:i4>0</vt:i4>
      </vt:variant>
      <vt:variant>
        <vt:i4>5</vt:i4>
      </vt:variant>
      <vt:variant>
        <vt:lpwstr>https://acadiacenter.org/resource/why-new-england-must-say-no-to-new-gas-pipelines/</vt:lpwstr>
      </vt:variant>
      <vt:variant>
        <vt:lpwstr/>
      </vt:variant>
      <vt:variant>
        <vt:i4>3080302</vt:i4>
      </vt:variant>
      <vt:variant>
        <vt:i4>0</vt:i4>
      </vt:variant>
      <vt:variant>
        <vt:i4>0</vt:i4>
      </vt:variant>
      <vt:variant>
        <vt:i4>5</vt:i4>
      </vt:variant>
      <vt:variant>
        <vt:lpwstr>https://www.mass.gov/news/governor-healey-takes-action-to-bring-in-10-gw-of-new-energy-save-10-billion-and-promote-energy-independence</vt:lpwstr>
      </vt:variant>
      <vt:variant>
        <vt:lpwstr/>
      </vt:variant>
      <vt:variant>
        <vt:i4>5898344</vt:i4>
      </vt:variant>
      <vt:variant>
        <vt:i4>6</vt:i4>
      </vt:variant>
      <vt:variant>
        <vt:i4>0</vt:i4>
      </vt:variant>
      <vt:variant>
        <vt:i4>5</vt:i4>
      </vt:variant>
      <vt:variant>
        <vt:lpwstr>mailto:jdickerson@acadiacenter.org</vt:lpwstr>
      </vt:variant>
      <vt:variant>
        <vt:lpwstr/>
      </vt:variant>
      <vt:variant>
        <vt:i4>2752542</vt:i4>
      </vt:variant>
      <vt:variant>
        <vt:i4>3</vt:i4>
      </vt:variant>
      <vt:variant>
        <vt:i4>0</vt:i4>
      </vt:variant>
      <vt:variant>
        <vt:i4>5</vt:i4>
      </vt:variant>
      <vt:variant>
        <vt:lpwstr>mailto:kmurray@acadiacenter.org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Dickerson</dc:creator>
  <cp:keywords/>
  <cp:lastModifiedBy>Jamie Dickerson</cp:lastModifiedBy>
  <cp:revision>544</cp:revision>
  <cp:lastPrinted>2019-07-20T01:21:00Z</cp:lastPrinted>
  <dcterms:created xsi:type="dcterms:W3CDTF">2024-10-17T20:56:00Z</dcterms:created>
  <dcterms:modified xsi:type="dcterms:W3CDTF">2026-03-18T14:15:00Z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0x01010044C6C6CB89510441B73A22F31584DBB500AA2E53163EEBC545AB9959B12A481DEB</vt:lpwstr>
  </property>
  <property fmtid="{D5CDD505-2E9C-101B-9397-08002B2CF9AE}" pid="3" name="GrammarlyDocumentId">
    <vt:lpwstr>29b64b1c-3f07-489d-b9e1-1fbba10d7c9a</vt:lpwstr>
  </property>
  <property fmtid="{D5CDD505-2E9C-101B-9397-08002B2CF9AE}" pid="4" name="MediaServiceImageTags">
    <vt:lpwstr/>
  </property>
</Properties>
</file>